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8CE" w:rsidRPr="00EF3B71" w:rsidRDefault="00BF08CE" w:rsidP="00887993">
      <w:pPr>
        <w:jc w:val="center"/>
        <w:rPr>
          <w:rFonts w:cs="Times New Roman"/>
          <w:sz w:val="24"/>
          <w:szCs w:val="24"/>
        </w:rPr>
      </w:pPr>
      <w:r>
        <w:rPr>
          <w:rFonts w:cs="Times New Roman"/>
          <w:b/>
          <w:bCs/>
          <w:sz w:val="24"/>
          <w:szCs w:val="24"/>
          <w:lang w:eastAsia="lv-LV" w:bidi="ar-SA"/>
        </w:rPr>
        <w:t>Likumprojekta</w:t>
      </w:r>
      <w:r w:rsidRPr="00E65F9E">
        <w:rPr>
          <w:rFonts w:cs="Times New Roman"/>
          <w:b/>
          <w:bCs/>
          <w:sz w:val="24"/>
          <w:szCs w:val="24"/>
          <w:lang w:eastAsia="lv-LV" w:bidi="ar-SA"/>
        </w:rPr>
        <w:t xml:space="preserve"> „</w:t>
      </w:r>
      <w:r w:rsidRPr="00C63A70">
        <w:rPr>
          <w:rFonts w:cs="Times New Roman"/>
          <w:b/>
          <w:bCs/>
          <w:sz w:val="24"/>
          <w:szCs w:val="24"/>
        </w:rPr>
        <w:t>Grozījum</w:t>
      </w:r>
      <w:r>
        <w:rPr>
          <w:rFonts w:cs="Times New Roman"/>
          <w:b/>
          <w:bCs/>
          <w:sz w:val="24"/>
          <w:szCs w:val="24"/>
        </w:rPr>
        <w:t>i</w:t>
      </w:r>
      <w:r w:rsidRPr="00421C66">
        <w:rPr>
          <w:rFonts w:cs="Times New Roman"/>
          <w:bCs/>
          <w:sz w:val="24"/>
          <w:szCs w:val="24"/>
        </w:rPr>
        <w:t xml:space="preserve"> </w:t>
      </w:r>
      <w:r w:rsidRPr="00421C66">
        <w:rPr>
          <w:rFonts w:cs="Times New Roman"/>
          <w:b/>
          <w:bCs/>
          <w:sz w:val="24"/>
          <w:szCs w:val="24"/>
        </w:rPr>
        <w:t>Šengenas informācijas sistēmas darbības likum</w:t>
      </w:r>
      <w:r w:rsidRPr="00421C66">
        <w:rPr>
          <w:b/>
          <w:bCs/>
          <w:sz w:val="24"/>
          <w:szCs w:val="24"/>
        </w:rPr>
        <w:t>ā</w:t>
      </w:r>
      <w:r w:rsidRPr="00421C66">
        <w:rPr>
          <w:rFonts w:cs="Times New Roman"/>
          <w:b/>
          <w:bCs/>
          <w:sz w:val="24"/>
          <w:szCs w:val="24"/>
          <w:lang w:eastAsia="lv-LV" w:bidi="ar-SA"/>
        </w:rPr>
        <w:t>”</w:t>
      </w:r>
      <w:r w:rsidRPr="00E65F9E">
        <w:rPr>
          <w:rFonts w:cs="Times New Roman"/>
          <w:b/>
          <w:bCs/>
          <w:sz w:val="24"/>
          <w:szCs w:val="24"/>
          <w:lang w:eastAsia="lv-LV" w:bidi="ar-SA"/>
        </w:rPr>
        <w:t xml:space="preserve"> sākotnējās ietekmes novērtējuma ziņojums (anotācija)</w:t>
      </w:r>
    </w:p>
    <w:p w:rsidR="006C2785" w:rsidRPr="00AB76AB" w:rsidRDefault="006C2785" w:rsidP="00AB76AB">
      <w:pPr>
        <w:jc w:val="center"/>
        <w:rPr>
          <w:rFonts w:cs="Times New Roman"/>
          <w:b/>
          <w:bCs/>
          <w:sz w:val="24"/>
          <w:szCs w:val="24"/>
        </w:rPr>
      </w:pPr>
    </w:p>
    <w:tbl>
      <w:tblPr>
        <w:tblStyle w:val="TableGrid"/>
        <w:tblW w:w="5320" w:type="pct"/>
        <w:tblInd w:w="-318" w:type="dxa"/>
        <w:tblLook w:val="04A0" w:firstRow="1" w:lastRow="0" w:firstColumn="1" w:lastColumn="0" w:noHBand="0" w:noVBand="1"/>
      </w:tblPr>
      <w:tblGrid>
        <w:gridCol w:w="2623"/>
        <w:gridCol w:w="6210"/>
      </w:tblGrid>
      <w:tr w:rsidR="00F41C9E" w:rsidTr="00CC7EFE">
        <w:tc>
          <w:tcPr>
            <w:tcW w:w="5000" w:type="pct"/>
            <w:gridSpan w:val="2"/>
            <w:hideMark/>
          </w:tcPr>
          <w:p w:rsidR="006C2785" w:rsidRPr="00AB76AB" w:rsidRDefault="00BD58A2" w:rsidP="00AB76AB">
            <w:pPr>
              <w:ind w:firstLine="300"/>
              <w:jc w:val="center"/>
              <w:rPr>
                <w:rFonts w:cs="Times New Roman"/>
                <w:b/>
                <w:bCs/>
                <w:sz w:val="24"/>
                <w:szCs w:val="24"/>
              </w:rPr>
            </w:pPr>
            <w:r w:rsidRPr="00AB76AB">
              <w:rPr>
                <w:rFonts w:cs="Times New Roman"/>
                <w:b/>
                <w:bCs/>
                <w:sz w:val="24"/>
                <w:szCs w:val="24"/>
              </w:rPr>
              <w:t>Tiesību akta projekta anotācijas kopsavilkums</w:t>
            </w:r>
          </w:p>
        </w:tc>
      </w:tr>
      <w:tr w:rsidR="00F41C9E" w:rsidTr="00CC7EFE">
        <w:tc>
          <w:tcPr>
            <w:tcW w:w="1485" w:type="pct"/>
            <w:hideMark/>
          </w:tcPr>
          <w:p w:rsidR="006C2785" w:rsidRPr="00AB76AB" w:rsidRDefault="00BD58A2" w:rsidP="00AB76AB">
            <w:pPr>
              <w:rPr>
                <w:rFonts w:cs="Times New Roman"/>
                <w:sz w:val="24"/>
                <w:szCs w:val="24"/>
              </w:rPr>
            </w:pPr>
            <w:r w:rsidRPr="00AB76AB">
              <w:rPr>
                <w:rFonts w:cs="Times New Roman"/>
                <w:sz w:val="24"/>
                <w:szCs w:val="24"/>
              </w:rPr>
              <w:t>Mērķis, risinājums un projekta spēkā stāšanās laiks</w:t>
            </w:r>
          </w:p>
        </w:tc>
        <w:tc>
          <w:tcPr>
            <w:tcW w:w="3515" w:type="pct"/>
            <w:hideMark/>
          </w:tcPr>
          <w:p w:rsidR="0059138F" w:rsidRPr="00C778F2" w:rsidRDefault="00BD58A2" w:rsidP="00CC772E">
            <w:pPr>
              <w:jc w:val="both"/>
              <w:rPr>
                <w:rFonts w:cs="Times New Roman"/>
                <w:iCs/>
                <w:sz w:val="24"/>
                <w:szCs w:val="24"/>
              </w:rPr>
            </w:pPr>
            <w:r w:rsidRPr="00AB76AB">
              <w:rPr>
                <w:rFonts w:cs="Times New Roman"/>
                <w:iCs/>
                <w:sz w:val="24"/>
                <w:szCs w:val="24"/>
              </w:rPr>
              <w:t>Netiek aizpildīts saskaņā ar Ministru kabineta 2009. gada 15. decembra instrukcijas Nr. 19 “Tiesību akta projekta sākotnējās ietekmes i</w:t>
            </w:r>
            <w:r w:rsidR="00D866A9">
              <w:rPr>
                <w:rFonts w:cs="Times New Roman"/>
                <w:iCs/>
                <w:sz w:val="24"/>
                <w:szCs w:val="24"/>
              </w:rPr>
              <w:t>zvērtēšanas kārtība” 5.</w:t>
            </w:r>
            <w:r w:rsidR="00D866A9" w:rsidRPr="00D866A9">
              <w:rPr>
                <w:rFonts w:cs="Times New Roman"/>
                <w:iCs/>
                <w:sz w:val="24"/>
                <w:szCs w:val="24"/>
                <w:vertAlign w:val="superscript"/>
              </w:rPr>
              <w:t>1</w:t>
            </w:r>
            <w:r w:rsidR="005841AD">
              <w:rPr>
                <w:rFonts w:cs="Times New Roman"/>
                <w:iCs/>
                <w:sz w:val="24"/>
                <w:szCs w:val="24"/>
              </w:rPr>
              <w:t> punkt</w:t>
            </w:r>
            <w:r w:rsidRPr="00AB76AB">
              <w:rPr>
                <w:rFonts w:cs="Times New Roman"/>
                <w:iCs/>
                <w:sz w:val="24"/>
                <w:szCs w:val="24"/>
              </w:rPr>
              <w:t>u.</w:t>
            </w:r>
          </w:p>
        </w:tc>
      </w:tr>
    </w:tbl>
    <w:p w:rsidR="006C2785" w:rsidRPr="00AB76AB" w:rsidRDefault="006C2785" w:rsidP="00AB76AB">
      <w:pPr>
        <w:rPr>
          <w:rFonts w:cs="Times New Roman"/>
          <w:b/>
          <w:bCs/>
          <w:sz w:val="24"/>
          <w:szCs w:val="24"/>
        </w:rPr>
      </w:pPr>
    </w:p>
    <w:tbl>
      <w:tblPr>
        <w:tblpPr w:leftFromText="180" w:rightFromText="180" w:vertAnchor="text" w:horzAnchor="margin" w:tblpXSpec="center" w:tblpY="165"/>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263"/>
        <w:gridCol w:w="6531"/>
      </w:tblGrid>
      <w:tr w:rsidR="00F41C9E" w:rsidTr="00C778F2">
        <w:trPr>
          <w:trHeight w:val="1"/>
        </w:trPr>
        <w:tc>
          <w:tcPr>
            <w:tcW w:w="9219" w:type="dxa"/>
            <w:gridSpan w:val="3"/>
            <w:vAlign w:val="center"/>
          </w:tcPr>
          <w:p w:rsidR="006C2785" w:rsidRPr="00AB76AB" w:rsidRDefault="00BD58A2" w:rsidP="00AB76AB">
            <w:pPr>
              <w:pStyle w:val="naisnod"/>
              <w:spacing w:before="0" w:after="0"/>
              <w:ind w:left="1800"/>
              <w:jc w:val="left"/>
            </w:pPr>
            <w:r w:rsidRPr="00AB76AB">
              <w:t>I. Tiesību akta projekta izstrādes nepieciešamība</w:t>
            </w:r>
          </w:p>
        </w:tc>
      </w:tr>
      <w:tr w:rsidR="00F41C9E" w:rsidTr="00C778F2">
        <w:trPr>
          <w:trHeight w:val="9"/>
        </w:trPr>
        <w:tc>
          <w:tcPr>
            <w:tcW w:w="425" w:type="dxa"/>
          </w:tcPr>
          <w:p w:rsidR="006C2785" w:rsidRPr="00AB76AB" w:rsidRDefault="00BD58A2" w:rsidP="00AB76AB">
            <w:pPr>
              <w:pStyle w:val="naiskr"/>
              <w:spacing w:before="0" w:after="0"/>
            </w:pPr>
            <w:r w:rsidRPr="00AB76AB">
              <w:t>1.</w:t>
            </w:r>
          </w:p>
        </w:tc>
        <w:tc>
          <w:tcPr>
            <w:tcW w:w="2263" w:type="dxa"/>
          </w:tcPr>
          <w:p w:rsidR="006C2785" w:rsidRPr="00AB76AB" w:rsidRDefault="00BD58A2" w:rsidP="00AB76AB">
            <w:pPr>
              <w:pStyle w:val="naiskr"/>
              <w:spacing w:before="0" w:after="0"/>
              <w:ind w:hanging="10"/>
            </w:pPr>
            <w:r w:rsidRPr="00AB76AB">
              <w:t>Pamatojums</w:t>
            </w:r>
          </w:p>
        </w:tc>
        <w:tc>
          <w:tcPr>
            <w:tcW w:w="6531" w:type="dxa"/>
          </w:tcPr>
          <w:p w:rsidR="00C11CDF" w:rsidRPr="00AB76AB" w:rsidRDefault="00BF08CE" w:rsidP="00C11CDF">
            <w:pPr>
              <w:ind w:firstLine="422"/>
              <w:jc w:val="both"/>
              <w:rPr>
                <w:rFonts w:cs="Times New Roman"/>
                <w:sz w:val="24"/>
                <w:szCs w:val="24"/>
              </w:rPr>
            </w:pPr>
            <w:r>
              <w:rPr>
                <w:sz w:val="24"/>
                <w:szCs w:val="24"/>
              </w:rPr>
              <w:t>Aizsardzības ministrijas iniciatīva.</w:t>
            </w:r>
          </w:p>
        </w:tc>
      </w:tr>
      <w:tr w:rsidR="00F41C9E" w:rsidTr="00C778F2">
        <w:trPr>
          <w:trHeight w:val="5"/>
        </w:trPr>
        <w:tc>
          <w:tcPr>
            <w:tcW w:w="425" w:type="dxa"/>
          </w:tcPr>
          <w:p w:rsidR="006C2785" w:rsidRPr="00AB76AB" w:rsidRDefault="00BD58A2" w:rsidP="00AB76AB">
            <w:pPr>
              <w:pStyle w:val="naiskr"/>
              <w:spacing w:before="0" w:after="0"/>
            </w:pPr>
            <w:r w:rsidRPr="00AB76AB">
              <w:t>2.</w:t>
            </w:r>
          </w:p>
        </w:tc>
        <w:tc>
          <w:tcPr>
            <w:tcW w:w="2263" w:type="dxa"/>
          </w:tcPr>
          <w:p w:rsidR="006C2785" w:rsidRPr="00AB76AB" w:rsidRDefault="00BD58A2" w:rsidP="00AB76AB">
            <w:pPr>
              <w:pStyle w:val="naiskr"/>
              <w:tabs>
                <w:tab w:val="left" w:pos="170"/>
              </w:tabs>
              <w:spacing w:before="0" w:after="0"/>
              <w:rPr>
                <w:color w:val="000000"/>
              </w:rPr>
            </w:pPr>
            <w:r w:rsidRPr="00AB76AB">
              <w:rPr>
                <w:color w:val="000000"/>
              </w:rPr>
              <w:t>Pašreizējā situācija un problēmas, kuru risināšanai tiesību akta projekts izstrādāts, tiesiskā regulējuma mērķis un būtība</w:t>
            </w:r>
          </w:p>
          <w:p w:rsidR="006C2785" w:rsidRPr="00AB76AB" w:rsidRDefault="006C2785" w:rsidP="00AB76AB">
            <w:pPr>
              <w:ind w:firstLine="720"/>
              <w:rPr>
                <w:rFonts w:cs="Times New Roman"/>
                <w:color w:val="000000"/>
                <w:sz w:val="24"/>
                <w:szCs w:val="24"/>
              </w:rPr>
            </w:pPr>
          </w:p>
        </w:tc>
        <w:tc>
          <w:tcPr>
            <w:tcW w:w="6531" w:type="dxa"/>
          </w:tcPr>
          <w:p w:rsidR="00BF08CE" w:rsidRDefault="00BF08CE" w:rsidP="00BF08CE">
            <w:pPr>
              <w:pStyle w:val="naiskr"/>
              <w:spacing w:before="0" w:after="0"/>
              <w:ind w:firstLine="450"/>
              <w:jc w:val="both"/>
            </w:pPr>
            <w:r w:rsidRPr="00421C66">
              <w:rPr>
                <w:bCs/>
              </w:rPr>
              <w:t>Šengenas informācijas sistēmas darbības likum</w:t>
            </w:r>
            <w:r>
              <w:rPr>
                <w:bCs/>
              </w:rPr>
              <w:t xml:space="preserve">a (turpmāk – Likums) mērķis ir </w:t>
            </w:r>
            <w:r w:rsidRPr="003837D2">
              <w:rPr>
                <w:bCs/>
              </w:rPr>
              <w:t xml:space="preserve">nodrošināt </w:t>
            </w:r>
            <w:r>
              <w:rPr>
                <w:bCs/>
              </w:rPr>
              <w:t>Šengenas informācijas sistēmas (turpmāk – Sistēma)</w:t>
            </w:r>
            <w:r w:rsidRPr="003837D2">
              <w:rPr>
                <w:bCs/>
              </w:rPr>
              <w:t xml:space="preserve"> izmantošanu sabiedriskās kārtības </w:t>
            </w:r>
            <w:r w:rsidRPr="0021543C">
              <w:rPr>
                <w:bCs/>
              </w:rPr>
              <w:t>un drošības stiprināšanai dalībvalstīs</w:t>
            </w:r>
            <w:r w:rsidRPr="003837D2">
              <w:rPr>
                <w:bCs/>
              </w:rPr>
              <w:t>.</w:t>
            </w:r>
            <w:bookmarkStart w:id="0" w:name="p3"/>
            <w:bookmarkStart w:id="1" w:name="p-101204"/>
            <w:bookmarkEnd w:id="0"/>
            <w:bookmarkEnd w:id="1"/>
            <w:r>
              <w:rPr>
                <w:bCs/>
              </w:rPr>
              <w:t xml:space="preserve"> Savukārt Likuma 3.pants noteic, ka i</w:t>
            </w:r>
            <w:r>
              <w:t xml:space="preserve">ekļaut Sistēmā ziņojumus un piekļūt Sistēmā iekļautajiem ziņojumiem ir tiesīgas Likumā noteiktās institūcijas un iestādes, lai atbilstoši Sistēmas darbības principiem </w:t>
            </w:r>
            <w:r w:rsidRPr="000B28BF">
              <w:rPr>
                <w:u w:val="single"/>
              </w:rPr>
              <w:t>izplatītu un saņemtu savu funkciju veikšanai nepieciešamo informāciju</w:t>
            </w:r>
            <w:r>
              <w:t>.</w:t>
            </w:r>
          </w:p>
          <w:p w:rsidR="00BF08CE" w:rsidRDefault="00BF08CE" w:rsidP="00BF08CE">
            <w:pPr>
              <w:pStyle w:val="naiskr"/>
              <w:spacing w:before="0" w:after="0"/>
              <w:ind w:firstLine="450"/>
              <w:jc w:val="both"/>
              <w:rPr>
                <w:bCs/>
              </w:rPr>
            </w:pPr>
            <w:r>
              <w:rPr>
                <w:bCs/>
              </w:rPr>
              <w:t xml:space="preserve">Likuma 9.pantā ir uzskaitītas institūcijas, kuras Sistēmā iekļauj, labo un dzēš </w:t>
            </w:r>
            <w:r>
              <w:t>datus par personām, priekšmetiem vai dokumentiem (turpmāk – ziņojumi)</w:t>
            </w:r>
            <w:r>
              <w:rPr>
                <w:bCs/>
              </w:rPr>
              <w:t xml:space="preserve">. Savukārt Likuma 14.pantā ir uzskaitītas institūcijas, kurām </w:t>
            </w:r>
            <w:r w:rsidRPr="00421C66">
              <w:rPr>
                <w:bCs/>
              </w:rPr>
              <w:t>atbilstoši normatīvajos aktos noteiktajai kompetencei</w:t>
            </w:r>
            <w:r>
              <w:rPr>
                <w:bCs/>
              </w:rPr>
              <w:t xml:space="preserve"> ir piekļuve Sistēmā iekļautajiem ziņojumiem.</w:t>
            </w:r>
          </w:p>
          <w:p w:rsidR="00BF08CE" w:rsidRPr="003837D2" w:rsidRDefault="00BF08CE" w:rsidP="00BF08CE">
            <w:pPr>
              <w:pStyle w:val="naiskr"/>
              <w:spacing w:before="0" w:after="0"/>
              <w:ind w:firstLine="450"/>
              <w:jc w:val="both"/>
              <w:rPr>
                <w:bCs/>
              </w:rPr>
            </w:pPr>
            <w:r>
              <w:rPr>
                <w:bCs/>
              </w:rPr>
              <w:t>Saskaņā ar Likuma 7.panta ceturto daļu l</w:t>
            </w:r>
            <w:r w:rsidRPr="003837D2">
              <w:rPr>
                <w:bCs/>
              </w:rPr>
              <w:t xml:space="preserve">ēmumu par ziņojuma iekļaušanu Sistēmā </w:t>
            </w:r>
            <w:r w:rsidRPr="003837D2">
              <w:rPr>
                <w:bCs/>
                <w:u w:val="single"/>
              </w:rPr>
              <w:t>pieņem operatīvās darbības subjekts</w:t>
            </w:r>
            <w:r w:rsidRPr="003837D2">
              <w:rPr>
                <w:bCs/>
              </w:rPr>
              <w:t xml:space="preserve"> konkrētā operatīvās darbības procesa ietvaros attiecībā uz ziņojumu</w:t>
            </w:r>
            <w:r>
              <w:rPr>
                <w:bCs/>
              </w:rPr>
              <w:t xml:space="preserve">, tai skaitā par </w:t>
            </w:r>
            <w:r w:rsidRPr="003837D2">
              <w:rPr>
                <w:bCs/>
              </w:rPr>
              <w:t>personām, transportlīdzekļiem, kuģošanas līdzekļiem, gaisa kuģiem un konteineriem, lai maskētā ve</w:t>
            </w:r>
            <w:r>
              <w:rPr>
                <w:bCs/>
              </w:rPr>
              <w:t>idā iegūtu informāciju par tiem</w:t>
            </w:r>
            <w:r w:rsidR="00887993">
              <w:rPr>
                <w:bCs/>
              </w:rPr>
              <w:t>,</w:t>
            </w:r>
            <w:r>
              <w:rPr>
                <w:bCs/>
              </w:rPr>
              <w:t xml:space="preserve"> un </w:t>
            </w:r>
            <w:r w:rsidRPr="003837D2">
              <w:rPr>
                <w:bCs/>
              </w:rPr>
              <w:t>personām, transportlīdzekļiem, kuģošanas līdzekļiem, gaisa kuģiem un konteineriem, lai, maskētā veidā veicot pārbaudi, iegūtu informāciju par tiem.</w:t>
            </w:r>
          </w:p>
          <w:p w:rsidR="00BF08CE" w:rsidRDefault="00BF08CE" w:rsidP="00BF08CE">
            <w:pPr>
              <w:pStyle w:val="naiskr"/>
              <w:spacing w:before="0" w:after="0"/>
              <w:ind w:firstLine="450"/>
              <w:jc w:val="both"/>
              <w:rPr>
                <w:bCs/>
              </w:rPr>
            </w:pPr>
            <w:r>
              <w:rPr>
                <w:bCs/>
              </w:rPr>
              <w:t xml:space="preserve">Šobrīd Militārās izlūkošanas un </w:t>
            </w:r>
            <w:r w:rsidRPr="001603B6">
              <w:rPr>
                <w:bCs/>
              </w:rPr>
              <w:t>drošības dienests (turpmāk – MIDD) ir vienīgā valsts drošības iestāde un operatīvās darbības subjekts, k</w:t>
            </w:r>
            <w:r>
              <w:rPr>
                <w:bCs/>
              </w:rPr>
              <w:t>uram saskaņā ar Likuma 9. un 14.pantu nav tiesību iekļaut, dzēst un labot Sistēmā iekļautos ziņojumus, kā arī nav piekļuves Sistēmā iekļautajiem ziņojumiem.</w:t>
            </w:r>
          </w:p>
          <w:p w:rsidR="00BF08CE" w:rsidRPr="00C778F2" w:rsidRDefault="00BF08CE" w:rsidP="00BF08CE">
            <w:pPr>
              <w:pStyle w:val="tv213"/>
              <w:spacing w:before="0" w:beforeAutospacing="0" w:after="0" w:afterAutospacing="0"/>
              <w:ind w:firstLine="450"/>
              <w:jc w:val="both"/>
            </w:pPr>
            <w:r>
              <w:rPr>
                <w:bCs/>
              </w:rPr>
              <w:t xml:space="preserve">Saskaņā ar Valsts drošības iestāžu likuma (turpmāk – VDI likums) 14.pantu </w:t>
            </w:r>
            <w:r>
              <w:t xml:space="preserve">MIDD ir Aizsardzības ministrijas pārraudzībā esoša valsts drošības iestāde, kas veic militāro pretizlūkošanu, izlūkošanu un VDI likumā noteiktos uzdevumus. </w:t>
            </w:r>
            <w:r w:rsidRPr="000B28BF">
              <w:t>VDI likuma 10.pantā ir ietverti valsts drošības iestāžu</w:t>
            </w:r>
            <w:r>
              <w:t xml:space="preserve"> (t.sk. MIDD)</w:t>
            </w:r>
            <w:r w:rsidRPr="000B28BF">
              <w:t xml:space="preserve"> uzdevum</w:t>
            </w:r>
            <w:r>
              <w:t xml:space="preserve">i, tostarp politiskās, ekonomiskās, sociālās, militārās, zinātniskās, tehniskās un citas ar valsts drošības un ekoloģiskajiem apdraudējumiem saistītās informācijas vākšana, uzkrāšana, analīze un izmantošana likumā noteiktajā kārtībā, valsts noslēpumu un citu valstij vitāli svarīgu interešu aizsardzība, valsts drošības apdraudējumu novēršana vai neitralizācija. Savukārt VDI likuma 14.panta otrajā daļā ir uzskaitīti konkrēti MIDD uzdevumi, tai skaitā iegūt un nodrošināt Aizsardzības ministriju, tās padotībā esošās iestādes, citas valsts varu un pārvaldi realizējošās institūcijas un to atbildīgās amatpersonas, kā arī Nacionālos bruņotos spēkus ar to </w:t>
            </w:r>
            <w:r>
              <w:lastRenderedPageBreak/>
              <w:t xml:space="preserve">darbībai nepieciešamo pretizlūkošanas un izlūkošanas informāciju, atklāt un sadarbībā ar citām valsts drošības iestādēm novērst ārvalstu speciālo dienestu, organizāciju vai atsevišķu personu graujošo darbību Aizsardzības ministrijā, tās padotībā esošajās iestādēs un Nacionālajos bruņotajos spēkos u.c. uzdevumi. </w:t>
            </w:r>
            <w:r w:rsidR="00C778F2">
              <w:t>Saskaņā ar</w:t>
            </w:r>
            <w:r w:rsidRPr="004906B6">
              <w:t xml:space="preserve"> VDI likuma 14.panta ceturto daļu</w:t>
            </w:r>
            <w:r w:rsidRPr="00BF08CE">
              <w:t xml:space="preserve"> </w:t>
            </w:r>
            <w:r w:rsidRPr="00BB5E5F">
              <w:t>MIDD savas kompetences ietvaros ir operatīvās darbības subjekts</w:t>
            </w:r>
            <w:r>
              <w:t xml:space="preserve">, kas darbojas saskaņā ar </w:t>
            </w:r>
            <w:r w:rsidRPr="00C778F2">
              <w:t>Operatīvās darbības likumu.</w:t>
            </w:r>
          </w:p>
          <w:p w:rsidR="00BF08CE" w:rsidRDefault="00BF08CE" w:rsidP="00BF08CE">
            <w:pPr>
              <w:pStyle w:val="naiskr"/>
              <w:spacing w:before="0" w:after="0"/>
              <w:ind w:firstLine="450"/>
              <w:jc w:val="both"/>
            </w:pPr>
            <w:r w:rsidRPr="00C778F2">
              <w:t xml:space="preserve">Vienlaikus VDI likuma 19.pantā ir ietvertas valsts drošības iestāžu amatpersonu tiesības, </w:t>
            </w:r>
            <w:r w:rsidR="00C778F2" w:rsidRPr="00C778F2">
              <w:t>tostarp -</w:t>
            </w:r>
            <w:r w:rsidRPr="00C778F2">
              <w:t xml:space="preserve"> savas kompetences ietvaros saņemt no valsts un pašvaldību institūcijām un amatpersonām nepieciešamo informāciju, dokumentus un citus materiālus neatkarīgi no to izmantošanas lieguma, savas kompetences ietvaros pēc drošības iestādes vadītāja pieprasījuma brīvi iepazīties ar reģistrētās datu bāzēs esošo visu veidu informāciju, kuras reģistrācija noteikta normatīvajos aktos, neatkarīgi no tās piederības, piekļūt šai informācijai un to saņemt. Iepazīšanās ar šo informāciju, piekļūšana tai un tās saņemšana jānodrošina pieprasītajā apjomā, režīmā un bez maksas.</w:t>
            </w:r>
            <w:r>
              <w:t xml:space="preserve"> </w:t>
            </w:r>
          </w:p>
          <w:p w:rsidR="00BF08CE" w:rsidRPr="00BF08CE" w:rsidRDefault="00BF08CE" w:rsidP="00BF08CE">
            <w:pPr>
              <w:pStyle w:val="naiskr"/>
              <w:spacing w:before="0" w:after="0"/>
              <w:ind w:firstLine="450"/>
              <w:jc w:val="both"/>
              <w:rPr>
                <w:bCs/>
              </w:rPr>
            </w:pPr>
            <w:r>
              <w:t>Papildus norādāms, ka a</w:t>
            </w:r>
            <w:r>
              <w:rPr>
                <w:bCs/>
              </w:rPr>
              <w:t xml:space="preserve">r 2012.gada 20.decembra likumu „Grozījumi </w:t>
            </w:r>
            <w:r w:rsidRPr="00BF784B">
              <w:rPr>
                <w:bCs/>
              </w:rPr>
              <w:t>Šengenas informācijas sistēmas darbības likumā”</w:t>
            </w:r>
            <w:r>
              <w:rPr>
                <w:bCs/>
              </w:rPr>
              <w:t xml:space="preserve">, kas stājās spēkā 2013.gada 23.janvārī, tika veikti grozījumi Likuma 9. un 14.pantā. </w:t>
            </w:r>
            <w:r w:rsidR="00C778F2">
              <w:rPr>
                <w:bCs/>
              </w:rPr>
              <w:t>Šo grozījumu</w:t>
            </w:r>
            <w:r>
              <w:rPr>
                <w:bCs/>
              </w:rPr>
              <w:t xml:space="preserve"> sākotnējās ietekmes novērtējuma ziņojumā (anotācijā) norādīts, ka </w:t>
            </w:r>
            <w:r w:rsidRPr="00FE46A7">
              <w:t>Likuma 9.pantā ir izdalāmas tās iestādes un institūcijas, kuras ir tiesīgas iekļaut, labot un dzēst ziņojumus Sistēmā, ņemot vērā 7.pantā noteikto kompetenci</w:t>
            </w:r>
            <w:r>
              <w:t>,</w:t>
            </w:r>
            <w:r w:rsidRPr="00FE46A7">
              <w:t xml:space="preserve"> pieņemt lēmumu par ziņojuma iekļaušanu Sistēmā, t.i., Valsts policijai, Drošības policijai, Valsts robežsardzei, Militārajai policijai, Ieslodzījumu vietu pārvaldei, Valsts ieņēmumu dienestam, Korupcijas novēršanas un apkarošanas birojam nosakāmas tiesības iekļaut ziņojumus Sistēmā kā izmeklēšanas iestādēm </w:t>
            </w:r>
            <w:r w:rsidRPr="004906B6">
              <w:rPr>
                <w:u w:val="single"/>
              </w:rPr>
              <w:t>un operatīvās darbības subjektiem</w:t>
            </w:r>
            <w:r w:rsidRPr="00FE46A7">
              <w:t xml:space="preserve"> atbilstoši 7.panta pirmajai, otrajai, trešajai un ceturtajai daļai, bet </w:t>
            </w:r>
            <w:r w:rsidRPr="004906B6">
              <w:rPr>
                <w:u w:val="single"/>
              </w:rPr>
              <w:t xml:space="preserve">Satversmes aizsardzības birojam </w:t>
            </w:r>
            <w:r w:rsidR="00C778F2">
              <w:rPr>
                <w:u w:val="single"/>
              </w:rPr>
              <w:t xml:space="preserve">- </w:t>
            </w:r>
            <w:r w:rsidRPr="004906B6">
              <w:rPr>
                <w:u w:val="single"/>
              </w:rPr>
              <w:t>kā operatīvās darbības subjektam atbilstoši Likuma 7.panta ceturtās daļas 3.un 4.punktam</w:t>
            </w:r>
            <w:r w:rsidRPr="00FE46A7">
              <w:t>.</w:t>
            </w:r>
          </w:p>
          <w:p w:rsidR="00BF08CE" w:rsidRDefault="00C778F2" w:rsidP="00BF08CE">
            <w:pPr>
              <w:ind w:firstLine="450"/>
              <w:jc w:val="both"/>
              <w:rPr>
                <w:rFonts w:cs="Times New Roman"/>
                <w:sz w:val="24"/>
                <w:szCs w:val="24"/>
                <w:lang w:eastAsia="lv-LV" w:bidi="ar-SA"/>
              </w:rPr>
            </w:pPr>
            <w:r>
              <w:rPr>
                <w:rFonts w:cs="Times New Roman"/>
                <w:sz w:val="24"/>
                <w:szCs w:val="24"/>
                <w:lang w:eastAsia="lv-LV" w:bidi="ar-SA"/>
              </w:rPr>
              <w:t>T</w:t>
            </w:r>
            <w:r w:rsidR="00BF08CE">
              <w:rPr>
                <w:rFonts w:cs="Times New Roman"/>
                <w:sz w:val="24"/>
                <w:szCs w:val="24"/>
                <w:lang w:eastAsia="lv-LV" w:bidi="ar-SA"/>
              </w:rPr>
              <w:t>āpat kā Satversmes aizsardzības birojam, arī MIDD var būt nepieciešamība pieņemt lēmumu par ziņojuma iekļaušanu sistēmā konkrētā operatīvās darbības procesa ietvaros par personām, transportlīdzekļiem, kuģošanas līdzekļiem, gaisa kuģiem un konteineriem, lai maskētā veidā iegūtu informāciju par tiem vai maskētā veidā veicot pārbaudi, iegūtu informāciju par tiem.</w:t>
            </w:r>
          </w:p>
          <w:p w:rsidR="00BF08CE" w:rsidRDefault="00C778F2" w:rsidP="00BF08CE">
            <w:pPr>
              <w:pStyle w:val="naiskr"/>
              <w:spacing w:before="0" w:after="0"/>
              <w:ind w:firstLine="450"/>
              <w:jc w:val="both"/>
            </w:pPr>
            <w:r>
              <w:t>Līdz ar to</w:t>
            </w:r>
            <w:r w:rsidR="00BF08CE">
              <w:t xml:space="preserve"> nav pamatoti, ka MIDD ir vienīgā valsts drošības </w:t>
            </w:r>
            <w:r w:rsidR="00BF08CE" w:rsidRPr="001603B6">
              <w:t>iestāde un operatīvās darbības subjekts,</w:t>
            </w:r>
            <w:r w:rsidR="00BF08CE">
              <w:t xml:space="preserve"> kam Likumā nav piešķirtas tiesības lietot Sistēmu, iekļaujot tajā ziņojumus, kā arī piekļūstot tajā esošajai informācijai.</w:t>
            </w:r>
          </w:p>
          <w:p w:rsidR="007E7631" w:rsidRPr="001C50DC" w:rsidRDefault="00BF08CE" w:rsidP="00BF08CE">
            <w:pPr>
              <w:ind w:firstLine="436"/>
              <w:jc w:val="both"/>
              <w:rPr>
                <w:sz w:val="24"/>
                <w:szCs w:val="24"/>
              </w:rPr>
            </w:pPr>
            <w:r>
              <w:rPr>
                <w:rFonts w:cs="Times New Roman"/>
                <w:sz w:val="24"/>
                <w:szCs w:val="24"/>
                <w:lang w:eastAsia="lv-LV" w:bidi="ar-SA"/>
              </w:rPr>
              <w:t>Ņemot vērā minēto, ar likumprojektu paredzēts papildināt Likuma 9. un 14.pantu, paredzot MIDD tiesības iekļaut, labot un dzēst konkrētus (Likuma 7.panta ceturtās daļas 3.un 4.punktā ietvertos) ziņojumus Sistēmā un piekļūt Sistēmai savu VDI likumā un Operatīvās darbības likumā noteikto funkciju un uzdevumu izpildei.</w:t>
            </w:r>
          </w:p>
        </w:tc>
      </w:tr>
      <w:tr w:rsidR="00F41C9E" w:rsidTr="00C778F2">
        <w:trPr>
          <w:trHeight w:val="8"/>
        </w:trPr>
        <w:tc>
          <w:tcPr>
            <w:tcW w:w="425" w:type="dxa"/>
          </w:tcPr>
          <w:p w:rsidR="006C2785" w:rsidRPr="00AB76AB" w:rsidRDefault="00BD58A2" w:rsidP="00AB76AB">
            <w:pPr>
              <w:pStyle w:val="naiskr"/>
              <w:spacing w:before="0" w:after="0"/>
            </w:pPr>
            <w:r w:rsidRPr="00AB76AB">
              <w:lastRenderedPageBreak/>
              <w:t>3.</w:t>
            </w:r>
          </w:p>
        </w:tc>
        <w:tc>
          <w:tcPr>
            <w:tcW w:w="2263" w:type="dxa"/>
          </w:tcPr>
          <w:p w:rsidR="006C2785" w:rsidRPr="00AB76AB" w:rsidRDefault="00BD58A2" w:rsidP="00AB76AB">
            <w:pPr>
              <w:pStyle w:val="naiskr"/>
              <w:spacing w:before="0" w:after="0"/>
            </w:pPr>
            <w:r w:rsidRPr="00AB76AB">
              <w:t>Projekta izstrādē iesaistītās institūcijas un publiskas personas kapitālsabiedrības</w:t>
            </w:r>
          </w:p>
        </w:tc>
        <w:tc>
          <w:tcPr>
            <w:tcW w:w="6531" w:type="dxa"/>
          </w:tcPr>
          <w:p w:rsidR="006C2785" w:rsidRPr="00AB76AB" w:rsidRDefault="00BE4423" w:rsidP="00AB76AB">
            <w:pPr>
              <w:pStyle w:val="naiskr"/>
              <w:spacing w:before="0" w:after="0"/>
              <w:jc w:val="both"/>
            </w:pPr>
            <w:r>
              <w:t>Militārās izlūkošanas un drošības dienests, Aizsardzības ministrija.</w:t>
            </w:r>
          </w:p>
        </w:tc>
      </w:tr>
      <w:tr w:rsidR="00F41C9E" w:rsidTr="00C778F2">
        <w:trPr>
          <w:trHeight w:val="246"/>
        </w:trPr>
        <w:tc>
          <w:tcPr>
            <w:tcW w:w="425" w:type="dxa"/>
          </w:tcPr>
          <w:p w:rsidR="006C2785" w:rsidRPr="00AB76AB" w:rsidRDefault="00BD58A2" w:rsidP="00AB76AB">
            <w:pPr>
              <w:pStyle w:val="naiskr"/>
              <w:spacing w:before="0" w:after="0"/>
            </w:pPr>
            <w:r w:rsidRPr="00AB76AB">
              <w:t>4.</w:t>
            </w:r>
          </w:p>
        </w:tc>
        <w:tc>
          <w:tcPr>
            <w:tcW w:w="2263" w:type="dxa"/>
          </w:tcPr>
          <w:p w:rsidR="006C2785" w:rsidRPr="00AB76AB" w:rsidRDefault="00BD58A2" w:rsidP="00AB76AB">
            <w:pPr>
              <w:pStyle w:val="naiskr"/>
              <w:spacing w:before="0" w:after="0"/>
            </w:pPr>
            <w:r w:rsidRPr="00AB76AB">
              <w:t>Cita informācija</w:t>
            </w:r>
          </w:p>
        </w:tc>
        <w:tc>
          <w:tcPr>
            <w:tcW w:w="6531" w:type="dxa"/>
          </w:tcPr>
          <w:p w:rsidR="006C2785" w:rsidRDefault="00BD58A2" w:rsidP="00AB76AB">
            <w:pPr>
              <w:jc w:val="both"/>
              <w:rPr>
                <w:rFonts w:cs="Times New Roman"/>
                <w:sz w:val="24"/>
                <w:szCs w:val="24"/>
                <w:lang w:eastAsia="ru-RU"/>
              </w:rPr>
            </w:pPr>
            <w:r w:rsidRPr="00AB76AB">
              <w:rPr>
                <w:rFonts w:cs="Times New Roman"/>
                <w:sz w:val="24"/>
                <w:szCs w:val="24"/>
                <w:lang w:eastAsia="ru-RU"/>
              </w:rPr>
              <w:t>Nav.</w:t>
            </w:r>
          </w:p>
          <w:p w:rsidR="0059138F" w:rsidRPr="00AB76AB" w:rsidRDefault="0059138F" w:rsidP="00AB76AB">
            <w:pPr>
              <w:jc w:val="both"/>
              <w:rPr>
                <w:rFonts w:cs="Times New Roman"/>
                <w:sz w:val="24"/>
                <w:szCs w:val="24"/>
                <w:lang w:eastAsia="ru-RU"/>
              </w:rPr>
            </w:pPr>
          </w:p>
        </w:tc>
      </w:tr>
    </w:tbl>
    <w:p w:rsidR="006C2785" w:rsidRPr="00AB76AB" w:rsidRDefault="006C2785" w:rsidP="00AB76AB">
      <w:pPr>
        <w:jc w:val="both"/>
        <w:rPr>
          <w:rFonts w:cs="Times New Roman"/>
          <w:sz w:val="24"/>
          <w:szCs w:val="24"/>
        </w:rPr>
      </w:pP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
        <w:gridCol w:w="2273"/>
        <w:gridCol w:w="6497"/>
      </w:tblGrid>
      <w:tr w:rsidR="00F41C9E" w:rsidTr="00783C3F">
        <w:trPr>
          <w:trHeight w:val="421"/>
          <w:jc w:val="center"/>
        </w:trPr>
        <w:tc>
          <w:tcPr>
            <w:tcW w:w="9191" w:type="dxa"/>
            <w:gridSpan w:val="3"/>
            <w:tcBorders>
              <w:top w:val="single" w:sz="4" w:space="0" w:color="auto"/>
              <w:left w:val="single" w:sz="4" w:space="0" w:color="auto"/>
              <w:bottom w:val="single" w:sz="4" w:space="0" w:color="auto"/>
              <w:right w:val="single" w:sz="4" w:space="0" w:color="auto"/>
            </w:tcBorders>
            <w:vAlign w:val="center"/>
            <w:hideMark/>
          </w:tcPr>
          <w:p w:rsidR="006C2785" w:rsidRPr="00AB76AB" w:rsidRDefault="00BD58A2" w:rsidP="00AB76AB">
            <w:pPr>
              <w:pStyle w:val="naisnod"/>
              <w:spacing w:before="0" w:after="0"/>
              <w:ind w:left="57" w:right="57"/>
            </w:pPr>
            <w:r w:rsidRPr="00AB76AB">
              <w:t xml:space="preserve">II. </w:t>
            </w:r>
            <w:r w:rsidRPr="00AB76AB">
              <w:rPr>
                <w:bCs w:val="0"/>
              </w:rPr>
              <w:t>Tiesību akta projekta ietekme uz sabiedrību, tautsaimniecības attīstību un administratīvo slogu</w:t>
            </w:r>
          </w:p>
        </w:tc>
      </w:tr>
      <w:tr w:rsidR="001C50DC" w:rsidTr="00783C3F">
        <w:trPr>
          <w:trHeight w:val="84"/>
          <w:jc w:val="center"/>
        </w:trPr>
        <w:tc>
          <w:tcPr>
            <w:tcW w:w="421" w:type="dxa"/>
            <w:tcBorders>
              <w:top w:val="single" w:sz="4" w:space="0" w:color="auto"/>
              <w:left w:val="single" w:sz="4" w:space="0" w:color="auto"/>
              <w:bottom w:val="single" w:sz="4" w:space="0" w:color="auto"/>
              <w:right w:val="single" w:sz="4" w:space="0" w:color="auto"/>
            </w:tcBorders>
            <w:hideMark/>
          </w:tcPr>
          <w:p w:rsidR="001C50DC" w:rsidRPr="001C50DC" w:rsidRDefault="001C50DC" w:rsidP="001C50DC">
            <w:pPr>
              <w:pStyle w:val="naisnod"/>
              <w:spacing w:before="0" w:after="0"/>
              <w:ind w:left="57" w:right="57"/>
              <w:jc w:val="left"/>
              <w:rPr>
                <w:b w:val="0"/>
              </w:rPr>
            </w:pPr>
            <w:r w:rsidRPr="001C50DC">
              <w:rPr>
                <w:b w:val="0"/>
              </w:rPr>
              <w:t>1.</w:t>
            </w:r>
          </w:p>
        </w:tc>
        <w:tc>
          <w:tcPr>
            <w:tcW w:w="2273" w:type="dxa"/>
            <w:tcBorders>
              <w:top w:val="single" w:sz="4" w:space="0" w:color="auto"/>
              <w:left w:val="single" w:sz="4" w:space="0" w:color="auto"/>
              <w:bottom w:val="single" w:sz="4" w:space="0" w:color="auto"/>
              <w:right w:val="single" w:sz="4" w:space="0" w:color="auto"/>
            </w:tcBorders>
          </w:tcPr>
          <w:p w:rsidR="001C50DC" w:rsidRPr="001C50DC" w:rsidRDefault="001C50DC" w:rsidP="001C50DC">
            <w:pPr>
              <w:pStyle w:val="naisnod"/>
              <w:spacing w:before="0" w:after="0"/>
              <w:ind w:left="57" w:right="57"/>
              <w:jc w:val="left"/>
              <w:rPr>
                <w:b w:val="0"/>
              </w:rPr>
            </w:pPr>
            <w:r w:rsidRPr="001C50DC">
              <w:rPr>
                <w:b w:val="0"/>
              </w:rPr>
              <w:t>Sabiedrības mērķgrupas, kuras tiesiskais regulējums ietekmē vai varētu ietekmēt</w:t>
            </w:r>
          </w:p>
        </w:tc>
        <w:tc>
          <w:tcPr>
            <w:tcW w:w="6497" w:type="dxa"/>
            <w:tcBorders>
              <w:top w:val="single" w:sz="4" w:space="0" w:color="auto"/>
              <w:left w:val="single" w:sz="4" w:space="0" w:color="auto"/>
              <w:bottom w:val="single" w:sz="4" w:space="0" w:color="auto"/>
              <w:right w:val="single" w:sz="4" w:space="0" w:color="auto"/>
            </w:tcBorders>
          </w:tcPr>
          <w:p w:rsidR="001C50DC" w:rsidRPr="00BE4423" w:rsidRDefault="00BE4423" w:rsidP="000A783A">
            <w:pPr>
              <w:pStyle w:val="naisnod"/>
              <w:spacing w:before="0" w:after="0"/>
              <w:ind w:left="57" w:right="57"/>
              <w:jc w:val="both"/>
              <w:rPr>
                <w:b w:val="0"/>
              </w:rPr>
            </w:pPr>
            <w:r w:rsidRPr="00BE4423">
              <w:rPr>
                <w:b w:val="0"/>
              </w:rPr>
              <w:t>Militārās izlūkošanas un drošības dienests, Iekšlietu ministrijas Informācijas centrs, Valsts policijas Galvenās kriminālpolicijas pārvaldes Starptautiskās sadarbības biroja SIRENE Latvijas nacionālā nodaļa.</w:t>
            </w:r>
          </w:p>
        </w:tc>
      </w:tr>
      <w:tr w:rsidR="001C50DC" w:rsidTr="00783C3F">
        <w:trPr>
          <w:trHeight w:val="84"/>
          <w:jc w:val="center"/>
        </w:trPr>
        <w:tc>
          <w:tcPr>
            <w:tcW w:w="421" w:type="dxa"/>
            <w:tcBorders>
              <w:top w:val="single" w:sz="4" w:space="0" w:color="auto"/>
              <w:left w:val="single" w:sz="4" w:space="0" w:color="auto"/>
              <w:bottom w:val="single" w:sz="4" w:space="0" w:color="auto"/>
              <w:right w:val="single" w:sz="4" w:space="0" w:color="auto"/>
            </w:tcBorders>
            <w:hideMark/>
          </w:tcPr>
          <w:p w:rsidR="001C50DC" w:rsidRPr="001C50DC" w:rsidRDefault="001C50DC" w:rsidP="001C50DC">
            <w:pPr>
              <w:pStyle w:val="naisnod"/>
              <w:spacing w:before="0" w:after="0"/>
              <w:ind w:left="57" w:right="57"/>
              <w:jc w:val="left"/>
              <w:rPr>
                <w:b w:val="0"/>
              </w:rPr>
            </w:pPr>
            <w:r w:rsidRPr="001C50DC">
              <w:rPr>
                <w:b w:val="0"/>
              </w:rPr>
              <w:t>2.</w:t>
            </w:r>
          </w:p>
        </w:tc>
        <w:tc>
          <w:tcPr>
            <w:tcW w:w="2273" w:type="dxa"/>
            <w:tcBorders>
              <w:top w:val="single" w:sz="4" w:space="0" w:color="auto"/>
              <w:left w:val="single" w:sz="4" w:space="0" w:color="auto"/>
              <w:bottom w:val="single" w:sz="4" w:space="0" w:color="auto"/>
              <w:right w:val="single" w:sz="4" w:space="0" w:color="auto"/>
            </w:tcBorders>
          </w:tcPr>
          <w:p w:rsidR="001C50DC" w:rsidRPr="001C50DC" w:rsidRDefault="001C50DC" w:rsidP="001C50DC">
            <w:pPr>
              <w:pStyle w:val="naisnod"/>
              <w:spacing w:before="0" w:after="0"/>
              <w:ind w:left="57" w:right="57"/>
              <w:jc w:val="left"/>
              <w:rPr>
                <w:b w:val="0"/>
              </w:rPr>
            </w:pPr>
            <w:r w:rsidRPr="001C50DC">
              <w:rPr>
                <w:b w:val="0"/>
              </w:rPr>
              <w:t>Tiesiskā regulējuma ietekme uz tautsaimniecību un administratīvo slogu</w:t>
            </w:r>
          </w:p>
        </w:tc>
        <w:tc>
          <w:tcPr>
            <w:tcW w:w="6497" w:type="dxa"/>
            <w:tcBorders>
              <w:top w:val="single" w:sz="4" w:space="0" w:color="auto"/>
              <w:left w:val="single" w:sz="4" w:space="0" w:color="auto"/>
              <w:bottom w:val="single" w:sz="4" w:space="0" w:color="auto"/>
              <w:right w:val="single" w:sz="4" w:space="0" w:color="auto"/>
            </w:tcBorders>
          </w:tcPr>
          <w:p w:rsidR="001C50DC" w:rsidRPr="00BE4423" w:rsidRDefault="00BE4423" w:rsidP="004D26A3">
            <w:pPr>
              <w:pStyle w:val="naisnod"/>
              <w:spacing w:before="0" w:after="0"/>
              <w:ind w:right="57"/>
              <w:jc w:val="both"/>
              <w:rPr>
                <w:b w:val="0"/>
              </w:rPr>
            </w:pPr>
            <w:r w:rsidRPr="00BE4423">
              <w:rPr>
                <w:b w:val="0"/>
              </w:rPr>
              <w:t>Prognozējams, ka administratīvais slogs samazināsies, jo tiks atvieglots un optimizēts informācijas iegūšanas pro</w:t>
            </w:r>
            <w:bookmarkStart w:id="2" w:name="_GoBack"/>
            <w:bookmarkEnd w:id="2"/>
            <w:r w:rsidRPr="00BE4423">
              <w:rPr>
                <w:b w:val="0"/>
              </w:rPr>
              <w:t xml:space="preserve">cess Militārās izlūkošanas un drošības dienestam, tostarp  samazinot informācijas pieprasījumu plūsmu ar </w:t>
            </w:r>
            <w:proofErr w:type="spellStart"/>
            <w:r w:rsidRPr="00BE4423">
              <w:rPr>
                <w:b w:val="0"/>
              </w:rPr>
              <w:t>par</w:t>
            </w:r>
            <w:r w:rsidR="006924B2">
              <w:rPr>
                <w:b w:val="0"/>
              </w:rPr>
              <w:t>t</w:t>
            </w:r>
            <w:r w:rsidRPr="00BE4423">
              <w:rPr>
                <w:b w:val="0"/>
              </w:rPr>
              <w:t>nerdienestiem</w:t>
            </w:r>
            <w:proofErr w:type="spellEnd"/>
            <w:r w:rsidRPr="00BE4423">
              <w:rPr>
                <w:b w:val="0"/>
              </w:rPr>
              <w:t>.</w:t>
            </w:r>
          </w:p>
          <w:p w:rsidR="001C50DC" w:rsidRPr="001C50DC" w:rsidRDefault="001C50DC" w:rsidP="004D26A3">
            <w:pPr>
              <w:pStyle w:val="naisnod"/>
              <w:spacing w:before="0" w:after="0"/>
              <w:ind w:right="57"/>
              <w:jc w:val="both"/>
              <w:rPr>
                <w:b w:val="0"/>
              </w:rPr>
            </w:pPr>
          </w:p>
        </w:tc>
      </w:tr>
      <w:tr w:rsidR="001C50DC" w:rsidTr="00783C3F">
        <w:trPr>
          <w:trHeight w:val="84"/>
          <w:jc w:val="center"/>
        </w:trPr>
        <w:tc>
          <w:tcPr>
            <w:tcW w:w="421" w:type="dxa"/>
            <w:tcBorders>
              <w:top w:val="single" w:sz="4" w:space="0" w:color="auto"/>
              <w:left w:val="single" w:sz="4" w:space="0" w:color="auto"/>
              <w:bottom w:val="single" w:sz="4" w:space="0" w:color="auto"/>
              <w:right w:val="single" w:sz="4" w:space="0" w:color="auto"/>
            </w:tcBorders>
            <w:hideMark/>
          </w:tcPr>
          <w:p w:rsidR="001C50DC" w:rsidRPr="001C50DC" w:rsidRDefault="001C50DC" w:rsidP="001C50DC">
            <w:pPr>
              <w:pStyle w:val="naisnod"/>
              <w:spacing w:before="0" w:after="0"/>
              <w:ind w:left="57" w:right="57"/>
              <w:jc w:val="left"/>
              <w:rPr>
                <w:b w:val="0"/>
              </w:rPr>
            </w:pPr>
            <w:r w:rsidRPr="001C50DC">
              <w:rPr>
                <w:b w:val="0"/>
              </w:rPr>
              <w:t>3.</w:t>
            </w:r>
          </w:p>
        </w:tc>
        <w:tc>
          <w:tcPr>
            <w:tcW w:w="2273" w:type="dxa"/>
            <w:tcBorders>
              <w:top w:val="single" w:sz="4" w:space="0" w:color="auto"/>
              <w:left w:val="single" w:sz="4" w:space="0" w:color="auto"/>
              <w:bottom w:val="single" w:sz="4" w:space="0" w:color="auto"/>
              <w:right w:val="single" w:sz="4" w:space="0" w:color="auto"/>
            </w:tcBorders>
            <w:vAlign w:val="center"/>
          </w:tcPr>
          <w:p w:rsidR="001C50DC" w:rsidRPr="001C50DC" w:rsidRDefault="001C50DC" w:rsidP="001C50DC">
            <w:pPr>
              <w:pStyle w:val="naisnod"/>
              <w:spacing w:before="0" w:after="0"/>
              <w:ind w:left="57" w:right="57"/>
              <w:jc w:val="left"/>
              <w:rPr>
                <w:b w:val="0"/>
              </w:rPr>
            </w:pPr>
            <w:r w:rsidRPr="001C50DC">
              <w:rPr>
                <w:b w:val="0"/>
              </w:rPr>
              <w:t>Administratīvo izmaksu monetārs novērtējums</w:t>
            </w:r>
          </w:p>
        </w:tc>
        <w:tc>
          <w:tcPr>
            <w:tcW w:w="6497" w:type="dxa"/>
            <w:tcBorders>
              <w:top w:val="single" w:sz="4" w:space="0" w:color="auto"/>
              <w:left w:val="single" w:sz="4" w:space="0" w:color="auto"/>
              <w:bottom w:val="single" w:sz="4" w:space="0" w:color="auto"/>
              <w:right w:val="single" w:sz="4" w:space="0" w:color="auto"/>
            </w:tcBorders>
          </w:tcPr>
          <w:p w:rsidR="001C50DC" w:rsidRPr="00BE4423" w:rsidRDefault="00BE4423" w:rsidP="001C50DC">
            <w:pPr>
              <w:pStyle w:val="naisnod"/>
              <w:spacing w:before="0" w:after="0"/>
              <w:ind w:left="57" w:right="57"/>
              <w:jc w:val="left"/>
              <w:rPr>
                <w:b w:val="0"/>
              </w:rPr>
            </w:pPr>
            <w:r w:rsidRPr="00BE4423">
              <w:rPr>
                <w:b w:val="0"/>
              </w:rPr>
              <w:t>Konkrēts ziņojumu skaits nav aprēķināms, tomēr prognozējams, ka administratīvās izmaksas nepārsniegs 2000 eiro gadā.</w:t>
            </w:r>
          </w:p>
        </w:tc>
      </w:tr>
      <w:tr w:rsidR="001C50DC" w:rsidTr="00783C3F">
        <w:trPr>
          <w:trHeight w:val="84"/>
          <w:jc w:val="center"/>
        </w:trPr>
        <w:tc>
          <w:tcPr>
            <w:tcW w:w="421" w:type="dxa"/>
            <w:tcBorders>
              <w:top w:val="single" w:sz="4" w:space="0" w:color="auto"/>
              <w:left w:val="single" w:sz="4" w:space="0" w:color="auto"/>
              <w:bottom w:val="single" w:sz="4" w:space="0" w:color="auto"/>
              <w:right w:val="single" w:sz="4" w:space="0" w:color="auto"/>
            </w:tcBorders>
            <w:hideMark/>
          </w:tcPr>
          <w:p w:rsidR="001C50DC" w:rsidRPr="001C50DC" w:rsidRDefault="001C50DC" w:rsidP="001C50DC">
            <w:pPr>
              <w:pStyle w:val="naisnod"/>
              <w:spacing w:before="0" w:after="0"/>
              <w:ind w:left="57" w:right="57"/>
              <w:jc w:val="left"/>
              <w:rPr>
                <w:b w:val="0"/>
              </w:rPr>
            </w:pPr>
            <w:r w:rsidRPr="001C50DC">
              <w:rPr>
                <w:b w:val="0"/>
              </w:rPr>
              <w:t>4.</w:t>
            </w:r>
          </w:p>
        </w:tc>
        <w:tc>
          <w:tcPr>
            <w:tcW w:w="2273" w:type="dxa"/>
            <w:tcBorders>
              <w:top w:val="single" w:sz="4" w:space="0" w:color="auto"/>
              <w:left w:val="single" w:sz="4" w:space="0" w:color="auto"/>
              <w:bottom w:val="single" w:sz="4" w:space="0" w:color="auto"/>
              <w:right w:val="single" w:sz="4" w:space="0" w:color="auto"/>
            </w:tcBorders>
          </w:tcPr>
          <w:p w:rsidR="001C50DC" w:rsidRPr="001C50DC" w:rsidRDefault="001C50DC" w:rsidP="0059138F">
            <w:pPr>
              <w:pStyle w:val="naisnod"/>
              <w:spacing w:before="0" w:after="0"/>
              <w:ind w:left="57" w:right="57"/>
              <w:jc w:val="left"/>
              <w:rPr>
                <w:b w:val="0"/>
              </w:rPr>
            </w:pPr>
            <w:r w:rsidRPr="001C50DC">
              <w:rPr>
                <w:b w:val="0"/>
              </w:rPr>
              <w:t>Atbilstības izmaksu monetārs novērtējums</w:t>
            </w:r>
          </w:p>
        </w:tc>
        <w:tc>
          <w:tcPr>
            <w:tcW w:w="6497" w:type="dxa"/>
            <w:tcBorders>
              <w:top w:val="single" w:sz="4" w:space="0" w:color="auto"/>
              <w:left w:val="single" w:sz="4" w:space="0" w:color="auto"/>
              <w:bottom w:val="single" w:sz="4" w:space="0" w:color="auto"/>
              <w:right w:val="single" w:sz="4" w:space="0" w:color="auto"/>
            </w:tcBorders>
          </w:tcPr>
          <w:p w:rsidR="001C50DC" w:rsidRPr="001C50DC" w:rsidRDefault="001C50DC" w:rsidP="001C50DC">
            <w:pPr>
              <w:pStyle w:val="naisnod"/>
              <w:spacing w:before="0" w:after="0"/>
              <w:ind w:left="57" w:right="57"/>
              <w:jc w:val="left"/>
              <w:rPr>
                <w:b w:val="0"/>
              </w:rPr>
            </w:pPr>
            <w:r w:rsidRPr="001C50DC">
              <w:rPr>
                <w:b w:val="0"/>
              </w:rPr>
              <w:t>Nav</w:t>
            </w:r>
            <w:r w:rsidR="00924819">
              <w:rPr>
                <w:b w:val="0"/>
              </w:rPr>
              <w:t>.</w:t>
            </w:r>
          </w:p>
        </w:tc>
      </w:tr>
      <w:tr w:rsidR="001C50DC" w:rsidTr="00783C3F">
        <w:trPr>
          <w:trHeight w:val="84"/>
          <w:jc w:val="center"/>
        </w:trPr>
        <w:tc>
          <w:tcPr>
            <w:tcW w:w="421" w:type="dxa"/>
            <w:tcBorders>
              <w:top w:val="single" w:sz="4" w:space="0" w:color="auto"/>
              <w:left w:val="single" w:sz="4" w:space="0" w:color="auto"/>
              <w:bottom w:val="single" w:sz="4" w:space="0" w:color="auto"/>
              <w:right w:val="single" w:sz="4" w:space="0" w:color="auto"/>
            </w:tcBorders>
            <w:hideMark/>
          </w:tcPr>
          <w:p w:rsidR="001C50DC" w:rsidRPr="001C50DC" w:rsidRDefault="001C50DC" w:rsidP="001C50DC">
            <w:pPr>
              <w:pStyle w:val="naisnod"/>
              <w:spacing w:before="0" w:after="0"/>
              <w:ind w:left="57" w:right="57"/>
              <w:jc w:val="left"/>
              <w:rPr>
                <w:b w:val="0"/>
              </w:rPr>
            </w:pPr>
            <w:r w:rsidRPr="001C50DC">
              <w:rPr>
                <w:b w:val="0"/>
              </w:rPr>
              <w:t>5.</w:t>
            </w:r>
          </w:p>
        </w:tc>
        <w:tc>
          <w:tcPr>
            <w:tcW w:w="2273" w:type="dxa"/>
            <w:tcBorders>
              <w:top w:val="single" w:sz="4" w:space="0" w:color="auto"/>
              <w:left w:val="single" w:sz="4" w:space="0" w:color="auto"/>
              <w:bottom w:val="single" w:sz="4" w:space="0" w:color="auto"/>
              <w:right w:val="single" w:sz="4" w:space="0" w:color="auto"/>
            </w:tcBorders>
          </w:tcPr>
          <w:p w:rsidR="001C50DC" w:rsidRPr="001C50DC" w:rsidRDefault="001C50DC" w:rsidP="0059138F">
            <w:pPr>
              <w:pStyle w:val="naisnod"/>
              <w:spacing w:before="0" w:after="0"/>
              <w:ind w:left="57" w:right="57"/>
              <w:jc w:val="left"/>
              <w:rPr>
                <w:b w:val="0"/>
              </w:rPr>
            </w:pPr>
            <w:r w:rsidRPr="001C50DC">
              <w:rPr>
                <w:b w:val="0"/>
              </w:rPr>
              <w:t>Cita informācija</w:t>
            </w:r>
          </w:p>
        </w:tc>
        <w:tc>
          <w:tcPr>
            <w:tcW w:w="6497" w:type="dxa"/>
            <w:tcBorders>
              <w:top w:val="single" w:sz="4" w:space="0" w:color="auto"/>
              <w:left w:val="single" w:sz="4" w:space="0" w:color="auto"/>
              <w:bottom w:val="single" w:sz="4" w:space="0" w:color="auto"/>
              <w:right w:val="single" w:sz="4" w:space="0" w:color="auto"/>
            </w:tcBorders>
          </w:tcPr>
          <w:p w:rsidR="001C50DC" w:rsidRDefault="001C50DC" w:rsidP="001C50DC">
            <w:pPr>
              <w:pStyle w:val="naisnod"/>
              <w:spacing w:before="0" w:after="0"/>
              <w:ind w:left="57" w:right="57"/>
              <w:jc w:val="left"/>
              <w:rPr>
                <w:b w:val="0"/>
              </w:rPr>
            </w:pPr>
            <w:r w:rsidRPr="001C50DC">
              <w:rPr>
                <w:b w:val="0"/>
              </w:rPr>
              <w:t>Nav</w:t>
            </w:r>
            <w:r w:rsidR="00924819">
              <w:rPr>
                <w:b w:val="0"/>
              </w:rPr>
              <w:t>.</w:t>
            </w:r>
          </w:p>
          <w:p w:rsidR="0059138F" w:rsidRPr="001C50DC" w:rsidRDefault="0059138F" w:rsidP="001C50DC">
            <w:pPr>
              <w:pStyle w:val="naisnod"/>
              <w:spacing w:before="0" w:after="0"/>
              <w:ind w:left="57" w:right="57"/>
              <w:jc w:val="left"/>
              <w:rPr>
                <w:b w:val="0"/>
              </w:rPr>
            </w:pPr>
          </w:p>
        </w:tc>
      </w:tr>
    </w:tbl>
    <w:p w:rsidR="006C2785" w:rsidRPr="00AB76AB" w:rsidRDefault="006C2785" w:rsidP="00AB76AB">
      <w:pPr>
        <w:jc w:val="both"/>
        <w:rPr>
          <w:rFonts w:cs="Times New Roman"/>
          <w:sz w:val="24"/>
          <w:szCs w:val="24"/>
        </w:rPr>
      </w:pPr>
    </w:p>
    <w:p w:rsidR="006C2785" w:rsidRPr="00AB76AB" w:rsidRDefault="006C2785" w:rsidP="00AB76AB">
      <w:pPr>
        <w:jc w:val="both"/>
        <w:rPr>
          <w:rFonts w:cs="Times New Roman"/>
          <w:sz w:val="24"/>
          <w:szCs w:val="24"/>
        </w:rPr>
      </w:pP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8"/>
        <w:gridCol w:w="2580"/>
        <w:gridCol w:w="6208"/>
      </w:tblGrid>
      <w:tr w:rsidR="00F41C9E" w:rsidTr="00BE4423">
        <w:trPr>
          <w:trHeight w:val="421"/>
          <w:jc w:val="center"/>
        </w:trPr>
        <w:tc>
          <w:tcPr>
            <w:tcW w:w="9186" w:type="dxa"/>
            <w:gridSpan w:val="3"/>
            <w:tcBorders>
              <w:top w:val="single" w:sz="4" w:space="0" w:color="auto"/>
              <w:left w:val="single" w:sz="4" w:space="0" w:color="auto"/>
              <w:bottom w:val="single" w:sz="4" w:space="0" w:color="auto"/>
              <w:right w:val="single" w:sz="4" w:space="0" w:color="auto"/>
            </w:tcBorders>
            <w:vAlign w:val="center"/>
            <w:hideMark/>
          </w:tcPr>
          <w:p w:rsidR="006C2785" w:rsidRPr="00AB76AB" w:rsidRDefault="00BD58A2" w:rsidP="00AB76AB">
            <w:pPr>
              <w:pStyle w:val="naisnod"/>
              <w:spacing w:before="0" w:after="0"/>
              <w:ind w:left="57" w:right="57"/>
            </w:pPr>
            <w:r w:rsidRPr="00AB76AB">
              <w:t>VI. Sabiedrības līdzdalība un komunikācijas aktivitātes</w:t>
            </w:r>
          </w:p>
        </w:tc>
      </w:tr>
      <w:tr w:rsidR="00F41C9E" w:rsidTr="00BE4423">
        <w:trPr>
          <w:trHeight w:val="553"/>
          <w:jc w:val="center"/>
        </w:trPr>
        <w:tc>
          <w:tcPr>
            <w:tcW w:w="398" w:type="dxa"/>
            <w:tcBorders>
              <w:top w:val="single" w:sz="4" w:space="0" w:color="auto"/>
              <w:left w:val="single" w:sz="4" w:space="0" w:color="auto"/>
              <w:bottom w:val="single" w:sz="4" w:space="0" w:color="auto"/>
              <w:right w:val="single" w:sz="4" w:space="0" w:color="auto"/>
            </w:tcBorders>
            <w:hideMark/>
          </w:tcPr>
          <w:p w:rsidR="006C2785" w:rsidRPr="00AB76AB" w:rsidRDefault="00BD58A2" w:rsidP="00AB76AB">
            <w:pPr>
              <w:ind w:left="57" w:right="57"/>
              <w:jc w:val="both"/>
              <w:rPr>
                <w:rFonts w:cs="Times New Roman"/>
                <w:bCs/>
                <w:sz w:val="24"/>
                <w:szCs w:val="24"/>
              </w:rPr>
            </w:pPr>
            <w:r w:rsidRPr="00AB76AB">
              <w:rPr>
                <w:rFonts w:cs="Times New Roman"/>
                <w:bCs/>
                <w:sz w:val="24"/>
                <w:szCs w:val="24"/>
              </w:rPr>
              <w:t>1.</w:t>
            </w:r>
          </w:p>
        </w:tc>
        <w:tc>
          <w:tcPr>
            <w:tcW w:w="2580" w:type="dxa"/>
            <w:tcBorders>
              <w:top w:val="single" w:sz="4" w:space="0" w:color="auto"/>
              <w:left w:val="single" w:sz="4" w:space="0" w:color="auto"/>
              <w:bottom w:val="single" w:sz="4" w:space="0" w:color="auto"/>
              <w:right w:val="single" w:sz="4" w:space="0" w:color="auto"/>
            </w:tcBorders>
            <w:hideMark/>
          </w:tcPr>
          <w:p w:rsidR="006C2785" w:rsidRPr="00AB76AB" w:rsidRDefault="00BD58A2" w:rsidP="00AB76AB">
            <w:pPr>
              <w:tabs>
                <w:tab w:val="left" w:pos="170"/>
              </w:tabs>
              <w:ind w:left="57" w:right="57"/>
              <w:rPr>
                <w:rFonts w:cs="Times New Roman"/>
                <w:sz w:val="24"/>
                <w:szCs w:val="24"/>
              </w:rPr>
            </w:pPr>
            <w:r w:rsidRPr="00AB76AB">
              <w:rPr>
                <w:rFonts w:cs="Times New Roman"/>
                <w:sz w:val="24"/>
                <w:szCs w:val="24"/>
              </w:rPr>
              <w:t>Plānotās sabiedrības līdzdalības un komunikācijas aktivitātes saistībā ar projektu</w:t>
            </w:r>
          </w:p>
        </w:tc>
        <w:tc>
          <w:tcPr>
            <w:tcW w:w="6208" w:type="dxa"/>
            <w:tcBorders>
              <w:top w:val="single" w:sz="4" w:space="0" w:color="auto"/>
              <w:left w:val="single" w:sz="4" w:space="0" w:color="auto"/>
              <w:bottom w:val="single" w:sz="4" w:space="0" w:color="auto"/>
              <w:right w:val="single" w:sz="4" w:space="0" w:color="auto"/>
            </w:tcBorders>
          </w:tcPr>
          <w:p w:rsidR="006C2785" w:rsidRPr="00924819" w:rsidRDefault="00924819" w:rsidP="00AB76AB">
            <w:pPr>
              <w:ind w:left="57" w:right="57"/>
              <w:jc w:val="both"/>
              <w:rPr>
                <w:rFonts w:cs="Times New Roman"/>
                <w:sz w:val="24"/>
                <w:szCs w:val="24"/>
              </w:rPr>
            </w:pPr>
            <w:bookmarkStart w:id="3" w:name="p61"/>
            <w:bookmarkEnd w:id="3"/>
            <w:r w:rsidRPr="00924819">
              <w:rPr>
                <w:sz w:val="24"/>
                <w:szCs w:val="24"/>
              </w:rPr>
              <w:t>Sabiedrības līdzdalība nav plānota, jo projekts attiecas uz valsts drošības iestāžu amatpersonām.</w:t>
            </w:r>
          </w:p>
        </w:tc>
      </w:tr>
      <w:tr w:rsidR="00F41C9E" w:rsidTr="00BE4423">
        <w:trPr>
          <w:trHeight w:val="339"/>
          <w:jc w:val="center"/>
        </w:trPr>
        <w:tc>
          <w:tcPr>
            <w:tcW w:w="398" w:type="dxa"/>
            <w:tcBorders>
              <w:top w:val="single" w:sz="4" w:space="0" w:color="auto"/>
              <w:left w:val="single" w:sz="4" w:space="0" w:color="auto"/>
              <w:bottom w:val="single" w:sz="4" w:space="0" w:color="auto"/>
              <w:right w:val="single" w:sz="4" w:space="0" w:color="auto"/>
            </w:tcBorders>
            <w:hideMark/>
          </w:tcPr>
          <w:p w:rsidR="006C2785" w:rsidRPr="00AB76AB" w:rsidRDefault="00BD58A2" w:rsidP="00AB76AB">
            <w:pPr>
              <w:ind w:left="57" w:right="57"/>
              <w:jc w:val="both"/>
              <w:rPr>
                <w:rFonts w:cs="Times New Roman"/>
                <w:bCs/>
                <w:sz w:val="24"/>
                <w:szCs w:val="24"/>
              </w:rPr>
            </w:pPr>
            <w:r w:rsidRPr="00AB76AB">
              <w:rPr>
                <w:rFonts w:cs="Times New Roman"/>
                <w:bCs/>
                <w:sz w:val="24"/>
                <w:szCs w:val="24"/>
              </w:rPr>
              <w:t>2.</w:t>
            </w:r>
          </w:p>
        </w:tc>
        <w:tc>
          <w:tcPr>
            <w:tcW w:w="2580" w:type="dxa"/>
            <w:tcBorders>
              <w:top w:val="single" w:sz="4" w:space="0" w:color="auto"/>
              <w:left w:val="single" w:sz="4" w:space="0" w:color="auto"/>
              <w:bottom w:val="single" w:sz="4" w:space="0" w:color="auto"/>
              <w:right w:val="single" w:sz="4" w:space="0" w:color="auto"/>
            </w:tcBorders>
            <w:hideMark/>
          </w:tcPr>
          <w:p w:rsidR="006C2785" w:rsidRPr="00AB76AB" w:rsidRDefault="00BD58A2" w:rsidP="00AB76AB">
            <w:pPr>
              <w:ind w:left="57" w:right="57"/>
              <w:rPr>
                <w:rFonts w:cs="Times New Roman"/>
                <w:sz w:val="24"/>
                <w:szCs w:val="24"/>
              </w:rPr>
            </w:pPr>
            <w:r w:rsidRPr="00AB76AB">
              <w:rPr>
                <w:rFonts w:cs="Times New Roman"/>
                <w:sz w:val="24"/>
                <w:szCs w:val="24"/>
              </w:rPr>
              <w:t>Sabiedrības līdzdalība projekta izstrādē</w:t>
            </w:r>
          </w:p>
        </w:tc>
        <w:tc>
          <w:tcPr>
            <w:tcW w:w="6208" w:type="dxa"/>
            <w:tcBorders>
              <w:top w:val="single" w:sz="4" w:space="0" w:color="auto"/>
              <w:left w:val="single" w:sz="4" w:space="0" w:color="auto"/>
              <w:bottom w:val="single" w:sz="4" w:space="0" w:color="auto"/>
              <w:right w:val="single" w:sz="4" w:space="0" w:color="auto"/>
            </w:tcBorders>
            <w:hideMark/>
          </w:tcPr>
          <w:p w:rsidR="006C2785" w:rsidRPr="00AB76AB" w:rsidRDefault="00924819" w:rsidP="00AB76AB">
            <w:pPr>
              <w:ind w:right="102"/>
              <w:jc w:val="both"/>
              <w:rPr>
                <w:rFonts w:cs="Times New Roman"/>
                <w:sz w:val="24"/>
                <w:szCs w:val="24"/>
              </w:rPr>
            </w:pPr>
            <w:bookmarkStart w:id="4" w:name="p62"/>
            <w:bookmarkEnd w:id="4"/>
            <w:r>
              <w:rPr>
                <w:rFonts w:cs="Times New Roman"/>
                <w:sz w:val="24"/>
                <w:szCs w:val="24"/>
              </w:rPr>
              <w:t>Nav.</w:t>
            </w:r>
          </w:p>
        </w:tc>
      </w:tr>
      <w:tr w:rsidR="00F41C9E" w:rsidTr="00BE4423">
        <w:trPr>
          <w:trHeight w:val="476"/>
          <w:jc w:val="center"/>
        </w:trPr>
        <w:tc>
          <w:tcPr>
            <w:tcW w:w="398" w:type="dxa"/>
            <w:tcBorders>
              <w:top w:val="single" w:sz="4" w:space="0" w:color="auto"/>
              <w:left w:val="single" w:sz="4" w:space="0" w:color="auto"/>
              <w:bottom w:val="single" w:sz="4" w:space="0" w:color="auto"/>
              <w:right w:val="single" w:sz="4" w:space="0" w:color="auto"/>
            </w:tcBorders>
            <w:hideMark/>
          </w:tcPr>
          <w:p w:rsidR="006C2785" w:rsidRPr="00AB76AB" w:rsidRDefault="00BD58A2" w:rsidP="00AB76AB">
            <w:pPr>
              <w:ind w:left="57" w:right="57"/>
              <w:jc w:val="both"/>
              <w:rPr>
                <w:rFonts w:cs="Times New Roman"/>
                <w:bCs/>
                <w:sz w:val="24"/>
                <w:szCs w:val="24"/>
              </w:rPr>
            </w:pPr>
            <w:r w:rsidRPr="00AB76AB">
              <w:rPr>
                <w:rFonts w:cs="Times New Roman"/>
                <w:bCs/>
                <w:sz w:val="24"/>
                <w:szCs w:val="24"/>
              </w:rPr>
              <w:t>3.</w:t>
            </w:r>
          </w:p>
        </w:tc>
        <w:tc>
          <w:tcPr>
            <w:tcW w:w="2580" w:type="dxa"/>
            <w:tcBorders>
              <w:top w:val="single" w:sz="4" w:space="0" w:color="auto"/>
              <w:left w:val="single" w:sz="4" w:space="0" w:color="auto"/>
              <w:bottom w:val="single" w:sz="4" w:space="0" w:color="auto"/>
              <w:right w:val="single" w:sz="4" w:space="0" w:color="auto"/>
            </w:tcBorders>
            <w:hideMark/>
          </w:tcPr>
          <w:p w:rsidR="006C2785" w:rsidRPr="00AB76AB" w:rsidRDefault="00BD58A2" w:rsidP="00AB76AB">
            <w:pPr>
              <w:ind w:left="57" w:right="57"/>
              <w:rPr>
                <w:rFonts w:cs="Times New Roman"/>
                <w:sz w:val="24"/>
                <w:szCs w:val="24"/>
              </w:rPr>
            </w:pPr>
            <w:r w:rsidRPr="00AB76AB">
              <w:rPr>
                <w:rFonts w:cs="Times New Roman"/>
                <w:sz w:val="24"/>
                <w:szCs w:val="24"/>
              </w:rPr>
              <w:t>Sabiedrības līdzdalības rezultāti</w:t>
            </w:r>
          </w:p>
        </w:tc>
        <w:tc>
          <w:tcPr>
            <w:tcW w:w="6208" w:type="dxa"/>
            <w:tcBorders>
              <w:top w:val="single" w:sz="4" w:space="0" w:color="auto"/>
              <w:left w:val="single" w:sz="4" w:space="0" w:color="auto"/>
              <w:bottom w:val="single" w:sz="4" w:space="0" w:color="auto"/>
              <w:right w:val="single" w:sz="4" w:space="0" w:color="auto"/>
            </w:tcBorders>
            <w:hideMark/>
          </w:tcPr>
          <w:p w:rsidR="006C2785" w:rsidRPr="00AB76AB" w:rsidRDefault="00924819" w:rsidP="00AB76AB">
            <w:pPr>
              <w:shd w:val="clear" w:color="auto" w:fill="FFFFFF"/>
              <w:ind w:right="57"/>
              <w:jc w:val="both"/>
              <w:rPr>
                <w:rFonts w:cs="Times New Roman"/>
                <w:sz w:val="24"/>
                <w:szCs w:val="24"/>
              </w:rPr>
            </w:pPr>
            <w:r>
              <w:rPr>
                <w:rStyle w:val="Emphasis"/>
                <w:rFonts w:cs="Times New Roman"/>
                <w:bCs/>
                <w:i w:val="0"/>
                <w:sz w:val="24"/>
                <w:szCs w:val="24"/>
              </w:rPr>
              <w:t>Nav.</w:t>
            </w:r>
          </w:p>
        </w:tc>
      </w:tr>
      <w:tr w:rsidR="00F41C9E" w:rsidTr="00BE4423">
        <w:trPr>
          <w:trHeight w:val="476"/>
          <w:jc w:val="center"/>
        </w:trPr>
        <w:tc>
          <w:tcPr>
            <w:tcW w:w="398" w:type="dxa"/>
            <w:tcBorders>
              <w:top w:val="single" w:sz="4" w:space="0" w:color="auto"/>
              <w:left w:val="single" w:sz="4" w:space="0" w:color="auto"/>
              <w:bottom w:val="single" w:sz="4" w:space="0" w:color="auto"/>
              <w:right w:val="single" w:sz="4" w:space="0" w:color="auto"/>
            </w:tcBorders>
            <w:hideMark/>
          </w:tcPr>
          <w:p w:rsidR="006C2785" w:rsidRPr="00AB76AB" w:rsidRDefault="00BD58A2" w:rsidP="00AB76AB">
            <w:pPr>
              <w:ind w:left="57" w:right="57"/>
              <w:jc w:val="both"/>
              <w:rPr>
                <w:rFonts w:cs="Times New Roman"/>
                <w:bCs/>
                <w:sz w:val="24"/>
                <w:szCs w:val="24"/>
              </w:rPr>
            </w:pPr>
            <w:r w:rsidRPr="00AB76AB">
              <w:rPr>
                <w:rFonts w:cs="Times New Roman"/>
                <w:bCs/>
                <w:sz w:val="24"/>
                <w:szCs w:val="24"/>
              </w:rPr>
              <w:t>4.</w:t>
            </w:r>
          </w:p>
        </w:tc>
        <w:tc>
          <w:tcPr>
            <w:tcW w:w="2580" w:type="dxa"/>
            <w:tcBorders>
              <w:top w:val="single" w:sz="4" w:space="0" w:color="auto"/>
              <w:left w:val="single" w:sz="4" w:space="0" w:color="auto"/>
              <w:bottom w:val="single" w:sz="4" w:space="0" w:color="auto"/>
              <w:right w:val="single" w:sz="4" w:space="0" w:color="auto"/>
            </w:tcBorders>
            <w:hideMark/>
          </w:tcPr>
          <w:p w:rsidR="006C2785" w:rsidRPr="00AB76AB" w:rsidRDefault="00BD58A2" w:rsidP="00AB76AB">
            <w:pPr>
              <w:ind w:left="57" w:right="57"/>
              <w:rPr>
                <w:rFonts w:cs="Times New Roman"/>
                <w:sz w:val="24"/>
                <w:szCs w:val="24"/>
              </w:rPr>
            </w:pPr>
            <w:r w:rsidRPr="00AB76AB">
              <w:rPr>
                <w:rFonts w:cs="Times New Roman"/>
                <w:sz w:val="24"/>
                <w:szCs w:val="24"/>
              </w:rPr>
              <w:t>Cita informācija</w:t>
            </w:r>
          </w:p>
        </w:tc>
        <w:tc>
          <w:tcPr>
            <w:tcW w:w="6208" w:type="dxa"/>
            <w:tcBorders>
              <w:top w:val="single" w:sz="4" w:space="0" w:color="auto"/>
              <w:left w:val="single" w:sz="4" w:space="0" w:color="auto"/>
              <w:bottom w:val="single" w:sz="4" w:space="0" w:color="auto"/>
              <w:right w:val="single" w:sz="4" w:space="0" w:color="auto"/>
            </w:tcBorders>
            <w:hideMark/>
          </w:tcPr>
          <w:p w:rsidR="006C2785" w:rsidRPr="00AB76AB" w:rsidRDefault="00BD58A2" w:rsidP="00AB76AB">
            <w:pPr>
              <w:ind w:right="57"/>
              <w:jc w:val="both"/>
              <w:rPr>
                <w:rFonts w:cs="Times New Roman"/>
                <w:sz w:val="24"/>
                <w:szCs w:val="24"/>
              </w:rPr>
            </w:pPr>
            <w:r w:rsidRPr="00AB76AB">
              <w:rPr>
                <w:rFonts w:cs="Times New Roman"/>
                <w:sz w:val="24"/>
                <w:szCs w:val="24"/>
              </w:rPr>
              <w:t>Nav.</w:t>
            </w:r>
          </w:p>
        </w:tc>
      </w:tr>
    </w:tbl>
    <w:p w:rsidR="006C2785" w:rsidRPr="00AB76AB" w:rsidRDefault="006C2785" w:rsidP="00AB76AB">
      <w:pPr>
        <w:jc w:val="both"/>
        <w:rPr>
          <w:rFonts w:cs="Times New Roman"/>
          <w:sz w:val="24"/>
          <w:szCs w:val="24"/>
        </w:rPr>
      </w:pPr>
    </w:p>
    <w:tbl>
      <w:tblPr>
        <w:tblpPr w:leftFromText="180" w:rightFromText="180" w:vertAnchor="text" w:horzAnchor="margin" w:tblpX="-431" w:tblpY="40"/>
        <w:tblW w:w="55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50"/>
        <w:gridCol w:w="2531"/>
        <w:gridCol w:w="6241"/>
      </w:tblGrid>
      <w:tr w:rsidR="00F41C9E" w:rsidTr="006C2785">
        <w:trPr>
          <w:trHeight w:val="231"/>
        </w:trPr>
        <w:tc>
          <w:tcPr>
            <w:tcW w:w="5000" w:type="pct"/>
            <w:gridSpan w:val="3"/>
            <w:tcBorders>
              <w:top w:val="single" w:sz="4" w:space="0" w:color="auto"/>
            </w:tcBorders>
          </w:tcPr>
          <w:p w:rsidR="006C2785" w:rsidRPr="00AB76AB" w:rsidRDefault="00BD58A2" w:rsidP="00AB76AB">
            <w:pPr>
              <w:pStyle w:val="naisnod"/>
              <w:spacing w:before="0" w:after="0"/>
              <w:ind w:left="57" w:right="57"/>
            </w:pPr>
            <w:r w:rsidRPr="00AB76AB">
              <w:t>VII. Tiesību akta projekta izpildes nodrošināšana un tās ietekme uz institūcijām</w:t>
            </w:r>
          </w:p>
        </w:tc>
      </w:tr>
      <w:tr w:rsidR="00F41C9E" w:rsidTr="00A61023">
        <w:trPr>
          <w:trHeight w:val="42"/>
        </w:trPr>
        <w:tc>
          <w:tcPr>
            <w:tcW w:w="244" w:type="pct"/>
          </w:tcPr>
          <w:p w:rsidR="006C2785" w:rsidRPr="00AB76AB" w:rsidRDefault="00BD58A2" w:rsidP="00AB76AB">
            <w:pPr>
              <w:pStyle w:val="naisnod"/>
              <w:spacing w:before="0" w:after="0"/>
              <w:ind w:left="57" w:right="57"/>
              <w:rPr>
                <w:b w:val="0"/>
              </w:rPr>
            </w:pPr>
            <w:r w:rsidRPr="00AB76AB">
              <w:rPr>
                <w:b w:val="0"/>
              </w:rPr>
              <w:t>1.</w:t>
            </w:r>
          </w:p>
        </w:tc>
        <w:tc>
          <w:tcPr>
            <w:tcW w:w="1372" w:type="pct"/>
          </w:tcPr>
          <w:p w:rsidR="006C2785" w:rsidRPr="00AB76AB" w:rsidRDefault="00BD58A2" w:rsidP="00AB76AB">
            <w:pPr>
              <w:pStyle w:val="naisf"/>
              <w:spacing w:before="0" w:after="0"/>
              <w:ind w:firstLine="0"/>
              <w:jc w:val="left"/>
            </w:pPr>
            <w:r w:rsidRPr="00AB76AB">
              <w:t xml:space="preserve">Projekta izpildē iesaistītās institūcijas </w:t>
            </w:r>
          </w:p>
        </w:tc>
        <w:tc>
          <w:tcPr>
            <w:tcW w:w="3384" w:type="pct"/>
          </w:tcPr>
          <w:p w:rsidR="006C2785" w:rsidRDefault="00B14952" w:rsidP="00AB76AB">
            <w:pPr>
              <w:pStyle w:val="naisnod"/>
              <w:spacing w:before="0" w:after="0"/>
              <w:jc w:val="both"/>
              <w:rPr>
                <w:b w:val="0"/>
              </w:rPr>
            </w:pPr>
            <w:r w:rsidRPr="00B14952">
              <w:rPr>
                <w:b w:val="0"/>
              </w:rPr>
              <w:t>Militārās izlūkošanas un drošības dienests.</w:t>
            </w:r>
          </w:p>
          <w:p w:rsidR="00B14952" w:rsidRPr="00B14952" w:rsidRDefault="00B14952" w:rsidP="00AB76AB">
            <w:pPr>
              <w:pStyle w:val="naisnod"/>
              <w:spacing w:before="0" w:after="0"/>
              <w:jc w:val="both"/>
              <w:rPr>
                <w:b w:val="0"/>
              </w:rPr>
            </w:pPr>
          </w:p>
        </w:tc>
      </w:tr>
      <w:tr w:rsidR="00F41C9E" w:rsidTr="00A61023">
        <w:trPr>
          <w:trHeight w:val="373"/>
        </w:trPr>
        <w:tc>
          <w:tcPr>
            <w:tcW w:w="244" w:type="pct"/>
          </w:tcPr>
          <w:p w:rsidR="006C2785" w:rsidRPr="00AB76AB" w:rsidRDefault="00BD58A2" w:rsidP="00AB76AB">
            <w:pPr>
              <w:pStyle w:val="naisnod"/>
              <w:spacing w:before="0" w:after="0"/>
              <w:ind w:left="57" w:right="57"/>
              <w:rPr>
                <w:b w:val="0"/>
              </w:rPr>
            </w:pPr>
            <w:r w:rsidRPr="00AB76AB">
              <w:rPr>
                <w:b w:val="0"/>
              </w:rPr>
              <w:t>2.</w:t>
            </w:r>
          </w:p>
        </w:tc>
        <w:tc>
          <w:tcPr>
            <w:tcW w:w="1372" w:type="pct"/>
          </w:tcPr>
          <w:p w:rsidR="006C2785" w:rsidRPr="00AB76AB" w:rsidRDefault="00BD58A2" w:rsidP="00AB76AB">
            <w:pPr>
              <w:rPr>
                <w:rFonts w:cs="Times New Roman"/>
                <w:sz w:val="24"/>
                <w:szCs w:val="24"/>
              </w:rPr>
            </w:pPr>
            <w:r w:rsidRPr="00AB76AB">
              <w:rPr>
                <w:rFonts w:cs="Times New Roman"/>
                <w:sz w:val="24"/>
                <w:szCs w:val="24"/>
              </w:rPr>
              <w:t xml:space="preserve">Projekta izpildes ietekme uz pārvaldes funkcijām un institucionālo struktūru. </w:t>
            </w:r>
          </w:p>
          <w:p w:rsidR="006C2785" w:rsidRPr="00AB76AB" w:rsidRDefault="006C2785" w:rsidP="00AB76AB">
            <w:pPr>
              <w:rPr>
                <w:rFonts w:cs="Times New Roman"/>
                <w:sz w:val="24"/>
                <w:szCs w:val="24"/>
              </w:rPr>
            </w:pPr>
          </w:p>
          <w:p w:rsidR="006C2785" w:rsidRPr="00AB76AB" w:rsidRDefault="00BD58A2" w:rsidP="00AB76AB">
            <w:pPr>
              <w:pStyle w:val="naisf"/>
              <w:spacing w:before="0" w:after="0"/>
              <w:ind w:firstLine="0"/>
              <w:jc w:val="left"/>
            </w:pPr>
            <w:r w:rsidRPr="00AB76AB">
              <w:t xml:space="preserve">Jaunu institūciju izveide, esošu institūciju </w:t>
            </w:r>
            <w:r w:rsidRPr="00AB76AB">
              <w:lastRenderedPageBreak/>
              <w:t>likvidācija vai reorganizācija, to ietekme uz institūcijas cilvēkresursiem</w:t>
            </w:r>
          </w:p>
        </w:tc>
        <w:tc>
          <w:tcPr>
            <w:tcW w:w="3384" w:type="pct"/>
          </w:tcPr>
          <w:p w:rsidR="006C2785" w:rsidRPr="007B4926" w:rsidRDefault="007B4926" w:rsidP="00AB76AB">
            <w:pPr>
              <w:jc w:val="both"/>
              <w:rPr>
                <w:rFonts w:cs="Times New Roman"/>
                <w:sz w:val="24"/>
                <w:szCs w:val="24"/>
              </w:rPr>
            </w:pPr>
            <w:r w:rsidRPr="007B4926">
              <w:rPr>
                <w:sz w:val="24"/>
                <w:szCs w:val="24"/>
              </w:rPr>
              <w:lastRenderedPageBreak/>
              <w:t xml:space="preserve">Saistībā ar projekta izpildi nav nepieciešams veidot jaunas ne arī likvidēt vai reorganizēt esošās institūcijas. Projekta izpilde neietekmēs institūcijām pieejamos cilvēkresursus. </w:t>
            </w:r>
          </w:p>
        </w:tc>
      </w:tr>
      <w:tr w:rsidR="00F41C9E" w:rsidTr="00A61023">
        <w:trPr>
          <w:trHeight w:val="201"/>
        </w:trPr>
        <w:tc>
          <w:tcPr>
            <w:tcW w:w="244" w:type="pct"/>
          </w:tcPr>
          <w:p w:rsidR="006C2785" w:rsidRPr="00AB76AB" w:rsidRDefault="00BD58A2" w:rsidP="00AB76AB">
            <w:pPr>
              <w:pStyle w:val="naiskr"/>
              <w:spacing w:before="0" w:after="0"/>
              <w:ind w:left="57" w:right="57"/>
              <w:jc w:val="center"/>
            </w:pPr>
            <w:r w:rsidRPr="00AB76AB">
              <w:t>3.</w:t>
            </w:r>
          </w:p>
        </w:tc>
        <w:tc>
          <w:tcPr>
            <w:tcW w:w="1372" w:type="pct"/>
          </w:tcPr>
          <w:p w:rsidR="006C2785" w:rsidRPr="00AB76AB" w:rsidRDefault="00BD58A2" w:rsidP="00AB76AB">
            <w:pPr>
              <w:pStyle w:val="naiskr"/>
              <w:spacing w:before="0" w:after="0"/>
            </w:pPr>
            <w:r w:rsidRPr="00AB76AB">
              <w:t>Cita informācija</w:t>
            </w:r>
          </w:p>
        </w:tc>
        <w:tc>
          <w:tcPr>
            <w:tcW w:w="3384" w:type="pct"/>
          </w:tcPr>
          <w:p w:rsidR="006C2785" w:rsidRDefault="00BD58A2" w:rsidP="00AB76AB">
            <w:pPr>
              <w:jc w:val="both"/>
              <w:rPr>
                <w:rFonts w:cs="Times New Roman"/>
                <w:sz w:val="24"/>
                <w:szCs w:val="24"/>
              </w:rPr>
            </w:pPr>
            <w:r w:rsidRPr="00AB76AB">
              <w:rPr>
                <w:rFonts w:cs="Times New Roman"/>
                <w:sz w:val="24"/>
                <w:szCs w:val="24"/>
              </w:rPr>
              <w:t xml:space="preserve">Nav. </w:t>
            </w:r>
          </w:p>
          <w:p w:rsidR="0059138F" w:rsidRPr="00AB76AB" w:rsidRDefault="0059138F" w:rsidP="00AB76AB">
            <w:pPr>
              <w:jc w:val="both"/>
              <w:rPr>
                <w:rFonts w:cs="Times New Roman"/>
                <w:sz w:val="24"/>
                <w:szCs w:val="24"/>
              </w:rPr>
            </w:pPr>
          </w:p>
        </w:tc>
      </w:tr>
    </w:tbl>
    <w:p w:rsidR="007A2BEC" w:rsidRDefault="007A2BEC" w:rsidP="00AB76AB">
      <w:pPr>
        <w:tabs>
          <w:tab w:val="left" w:pos="3090"/>
        </w:tabs>
        <w:rPr>
          <w:rFonts w:cs="Times New Roman"/>
          <w:sz w:val="24"/>
          <w:szCs w:val="24"/>
          <w:lang w:eastAsia="lv-LV" w:bidi="ar-SA"/>
        </w:rPr>
      </w:pPr>
    </w:p>
    <w:p w:rsidR="00BE4423" w:rsidRPr="001B283B" w:rsidRDefault="004F3FDC" w:rsidP="00BE4423">
      <w:pPr>
        <w:tabs>
          <w:tab w:val="right" w:pos="9074"/>
        </w:tabs>
        <w:rPr>
          <w:i/>
          <w:iCs/>
          <w:sz w:val="25"/>
          <w:szCs w:val="25"/>
        </w:rPr>
      </w:pPr>
      <w:r>
        <w:rPr>
          <w:i/>
          <w:iCs/>
          <w:sz w:val="25"/>
          <w:szCs w:val="25"/>
        </w:rPr>
        <w:t>Anotācijas III</w:t>
      </w:r>
      <w:r w:rsidR="00BE4423" w:rsidRPr="001B283B">
        <w:rPr>
          <w:i/>
          <w:iCs/>
          <w:sz w:val="25"/>
          <w:szCs w:val="25"/>
        </w:rPr>
        <w:t xml:space="preserve">, </w:t>
      </w:r>
      <w:r w:rsidR="00BE4423">
        <w:rPr>
          <w:i/>
          <w:iCs/>
          <w:sz w:val="25"/>
          <w:szCs w:val="25"/>
        </w:rPr>
        <w:t>I</w:t>
      </w:r>
      <w:r w:rsidR="00BE4423" w:rsidRPr="001B283B">
        <w:rPr>
          <w:i/>
          <w:iCs/>
          <w:sz w:val="25"/>
          <w:szCs w:val="25"/>
        </w:rPr>
        <w:t>V</w:t>
      </w:r>
      <w:r>
        <w:rPr>
          <w:i/>
          <w:iCs/>
          <w:sz w:val="25"/>
          <w:szCs w:val="25"/>
        </w:rPr>
        <w:t xml:space="preserve">, V </w:t>
      </w:r>
      <w:r w:rsidR="00BE4423" w:rsidRPr="001B283B">
        <w:rPr>
          <w:i/>
          <w:iCs/>
          <w:sz w:val="25"/>
          <w:szCs w:val="25"/>
        </w:rPr>
        <w:t>sadaļa</w:t>
      </w:r>
      <w:r w:rsidR="00BE4423">
        <w:rPr>
          <w:i/>
          <w:iCs/>
          <w:sz w:val="25"/>
          <w:szCs w:val="25"/>
        </w:rPr>
        <w:t xml:space="preserve"> </w:t>
      </w:r>
      <w:r w:rsidR="00BE4423" w:rsidRPr="001B283B">
        <w:rPr>
          <w:i/>
          <w:iCs/>
          <w:sz w:val="25"/>
          <w:szCs w:val="25"/>
        </w:rPr>
        <w:t>– projekts šīs jomas neskar</w:t>
      </w:r>
      <w:r w:rsidR="00BE4423">
        <w:rPr>
          <w:i/>
          <w:iCs/>
          <w:sz w:val="25"/>
          <w:szCs w:val="25"/>
        </w:rPr>
        <w:t>.</w:t>
      </w:r>
    </w:p>
    <w:p w:rsidR="00286202" w:rsidRDefault="00286202" w:rsidP="0059138F">
      <w:pPr>
        <w:tabs>
          <w:tab w:val="left" w:pos="3090"/>
        </w:tabs>
        <w:ind w:right="-477" w:hanging="426"/>
        <w:contextualSpacing/>
        <w:jc w:val="both"/>
        <w:rPr>
          <w:rFonts w:cs="Times New Roman"/>
          <w:sz w:val="24"/>
          <w:szCs w:val="24"/>
          <w:lang w:eastAsia="lv-LV" w:bidi="ar-SA"/>
        </w:rPr>
      </w:pPr>
    </w:p>
    <w:p w:rsidR="00286202" w:rsidRDefault="00286202" w:rsidP="0059138F">
      <w:pPr>
        <w:tabs>
          <w:tab w:val="left" w:pos="3090"/>
        </w:tabs>
        <w:ind w:right="-477" w:hanging="426"/>
        <w:contextualSpacing/>
        <w:jc w:val="both"/>
        <w:rPr>
          <w:rFonts w:cs="Times New Roman"/>
          <w:sz w:val="24"/>
          <w:szCs w:val="24"/>
          <w:lang w:eastAsia="lv-LV" w:bidi="ar-SA"/>
        </w:rPr>
      </w:pPr>
    </w:p>
    <w:p w:rsidR="00A3031E" w:rsidRPr="00AB76AB" w:rsidRDefault="00A3031E" w:rsidP="0059138F">
      <w:pPr>
        <w:tabs>
          <w:tab w:val="left" w:pos="3090"/>
        </w:tabs>
        <w:ind w:right="-477"/>
        <w:contextualSpacing/>
        <w:jc w:val="both"/>
        <w:rPr>
          <w:rFonts w:cs="Times New Roman"/>
          <w:sz w:val="24"/>
          <w:szCs w:val="24"/>
          <w:lang w:eastAsia="lv-LV" w:bidi="ar-SA"/>
        </w:rPr>
      </w:pPr>
    </w:p>
    <w:p w:rsidR="00790A41" w:rsidRDefault="006B247E" w:rsidP="0059138F">
      <w:pPr>
        <w:tabs>
          <w:tab w:val="left" w:pos="3090"/>
        </w:tabs>
        <w:ind w:right="-477" w:hanging="426"/>
        <w:contextualSpacing/>
        <w:jc w:val="both"/>
        <w:rPr>
          <w:rFonts w:cs="Times New Roman"/>
          <w:sz w:val="24"/>
          <w:szCs w:val="24"/>
          <w:lang w:eastAsia="lv-LV" w:bidi="ar-SA"/>
        </w:rPr>
      </w:pPr>
      <w:r>
        <w:rPr>
          <w:rFonts w:cs="Times New Roman"/>
          <w:sz w:val="24"/>
          <w:szCs w:val="24"/>
          <w:lang w:eastAsia="lv-LV" w:bidi="ar-SA"/>
        </w:rPr>
        <w:t xml:space="preserve">Aizsardzības ministrs </w:t>
      </w:r>
      <w:r>
        <w:rPr>
          <w:rFonts w:cs="Times New Roman"/>
          <w:sz w:val="24"/>
          <w:szCs w:val="24"/>
          <w:lang w:eastAsia="lv-LV" w:bidi="ar-SA"/>
        </w:rPr>
        <w:tab/>
      </w:r>
      <w:r>
        <w:rPr>
          <w:rFonts w:cs="Times New Roman"/>
          <w:sz w:val="24"/>
          <w:szCs w:val="24"/>
          <w:lang w:eastAsia="lv-LV" w:bidi="ar-SA"/>
        </w:rPr>
        <w:tab/>
      </w:r>
      <w:r>
        <w:rPr>
          <w:rFonts w:cs="Times New Roman"/>
          <w:sz w:val="24"/>
          <w:szCs w:val="24"/>
          <w:lang w:eastAsia="lv-LV" w:bidi="ar-SA"/>
        </w:rPr>
        <w:tab/>
      </w:r>
      <w:r>
        <w:rPr>
          <w:rFonts w:cs="Times New Roman"/>
          <w:sz w:val="24"/>
          <w:szCs w:val="24"/>
          <w:lang w:eastAsia="lv-LV" w:bidi="ar-SA"/>
        </w:rPr>
        <w:tab/>
      </w:r>
      <w:r>
        <w:rPr>
          <w:rFonts w:cs="Times New Roman"/>
          <w:sz w:val="24"/>
          <w:szCs w:val="24"/>
          <w:lang w:eastAsia="lv-LV" w:bidi="ar-SA"/>
        </w:rPr>
        <w:tab/>
      </w:r>
      <w:r>
        <w:rPr>
          <w:rFonts w:cs="Times New Roman"/>
          <w:sz w:val="24"/>
          <w:szCs w:val="24"/>
          <w:lang w:eastAsia="lv-LV" w:bidi="ar-SA"/>
        </w:rPr>
        <w:tab/>
      </w:r>
      <w:r>
        <w:rPr>
          <w:rFonts w:cs="Times New Roman"/>
          <w:sz w:val="24"/>
          <w:szCs w:val="24"/>
          <w:lang w:eastAsia="lv-LV" w:bidi="ar-SA"/>
        </w:rPr>
        <w:tab/>
      </w:r>
      <w:r w:rsidR="00B54D76" w:rsidRPr="00AB76AB">
        <w:rPr>
          <w:rFonts w:cs="Times New Roman"/>
          <w:sz w:val="24"/>
          <w:szCs w:val="24"/>
          <w:lang w:eastAsia="lv-LV" w:bidi="ar-SA"/>
        </w:rPr>
        <w:t>R.Bergma</w:t>
      </w:r>
      <w:r>
        <w:rPr>
          <w:rFonts w:cs="Times New Roman"/>
          <w:sz w:val="24"/>
          <w:szCs w:val="24"/>
          <w:lang w:eastAsia="lv-LV" w:bidi="ar-SA"/>
        </w:rPr>
        <w:t>nis</w:t>
      </w:r>
    </w:p>
    <w:p w:rsidR="006B247E" w:rsidRDefault="006B247E" w:rsidP="0059138F">
      <w:pPr>
        <w:tabs>
          <w:tab w:val="left" w:pos="3090"/>
        </w:tabs>
        <w:ind w:right="-477" w:hanging="426"/>
        <w:contextualSpacing/>
        <w:jc w:val="both"/>
        <w:rPr>
          <w:rFonts w:cs="Times New Roman"/>
          <w:sz w:val="24"/>
          <w:szCs w:val="24"/>
          <w:lang w:eastAsia="lv-LV" w:bidi="ar-SA"/>
        </w:rPr>
      </w:pPr>
    </w:p>
    <w:p w:rsidR="0059138F" w:rsidRDefault="0059138F" w:rsidP="0059138F">
      <w:pPr>
        <w:tabs>
          <w:tab w:val="left" w:pos="3090"/>
        </w:tabs>
        <w:ind w:right="-477" w:hanging="426"/>
        <w:contextualSpacing/>
        <w:jc w:val="both"/>
        <w:rPr>
          <w:rFonts w:cs="Times New Roman"/>
          <w:sz w:val="24"/>
          <w:szCs w:val="24"/>
          <w:lang w:eastAsia="lv-LV" w:bidi="ar-SA"/>
        </w:rPr>
      </w:pPr>
    </w:p>
    <w:p w:rsidR="006B247E" w:rsidRPr="00AB76AB" w:rsidRDefault="006B247E" w:rsidP="0059138F">
      <w:pPr>
        <w:tabs>
          <w:tab w:val="left" w:pos="3090"/>
        </w:tabs>
        <w:ind w:right="-477" w:hanging="426"/>
        <w:contextualSpacing/>
        <w:jc w:val="both"/>
        <w:rPr>
          <w:rFonts w:cs="Times New Roman"/>
          <w:sz w:val="24"/>
          <w:szCs w:val="24"/>
          <w:lang w:eastAsia="lv-LV" w:bidi="ar-SA"/>
        </w:rPr>
      </w:pPr>
      <w:r>
        <w:rPr>
          <w:rFonts w:cs="Times New Roman"/>
          <w:sz w:val="24"/>
          <w:szCs w:val="24"/>
          <w:lang w:eastAsia="lv-LV" w:bidi="ar-SA"/>
        </w:rPr>
        <w:t>V</w:t>
      </w:r>
      <w:r w:rsidR="00A61023">
        <w:rPr>
          <w:rFonts w:cs="Times New Roman"/>
          <w:sz w:val="24"/>
          <w:szCs w:val="24"/>
          <w:lang w:eastAsia="lv-LV" w:bidi="ar-SA"/>
        </w:rPr>
        <w:t>īza: v</w:t>
      </w:r>
      <w:r>
        <w:rPr>
          <w:rFonts w:cs="Times New Roman"/>
          <w:sz w:val="24"/>
          <w:szCs w:val="24"/>
          <w:lang w:eastAsia="lv-LV" w:bidi="ar-SA"/>
        </w:rPr>
        <w:t xml:space="preserve">alsts sekretārs </w:t>
      </w:r>
      <w:r>
        <w:rPr>
          <w:rFonts w:cs="Times New Roman"/>
          <w:sz w:val="24"/>
          <w:szCs w:val="24"/>
          <w:lang w:eastAsia="lv-LV" w:bidi="ar-SA"/>
        </w:rPr>
        <w:tab/>
      </w:r>
      <w:r>
        <w:rPr>
          <w:rFonts w:cs="Times New Roman"/>
          <w:sz w:val="24"/>
          <w:szCs w:val="24"/>
          <w:lang w:eastAsia="lv-LV" w:bidi="ar-SA"/>
        </w:rPr>
        <w:tab/>
      </w:r>
      <w:r>
        <w:rPr>
          <w:rFonts w:cs="Times New Roman"/>
          <w:sz w:val="24"/>
          <w:szCs w:val="24"/>
          <w:lang w:eastAsia="lv-LV" w:bidi="ar-SA"/>
        </w:rPr>
        <w:tab/>
      </w:r>
      <w:r>
        <w:rPr>
          <w:rFonts w:cs="Times New Roman"/>
          <w:sz w:val="24"/>
          <w:szCs w:val="24"/>
          <w:lang w:eastAsia="lv-LV" w:bidi="ar-SA"/>
        </w:rPr>
        <w:tab/>
      </w:r>
      <w:r>
        <w:rPr>
          <w:rFonts w:cs="Times New Roman"/>
          <w:sz w:val="24"/>
          <w:szCs w:val="24"/>
          <w:lang w:eastAsia="lv-LV" w:bidi="ar-SA"/>
        </w:rPr>
        <w:tab/>
      </w:r>
      <w:r>
        <w:rPr>
          <w:rFonts w:cs="Times New Roman"/>
          <w:sz w:val="24"/>
          <w:szCs w:val="24"/>
          <w:lang w:eastAsia="lv-LV" w:bidi="ar-SA"/>
        </w:rPr>
        <w:tab/>
      </w:r>
      <w:r>
        <w:rPr>
          <w:rFonts w:cs="Times New Roman"/>
          <w:sz w:val="24"/>
          <w:szCs w:val="24"/>
          <w:lang w:eastAsia="lv-LV" w:bidi="ar-SA"/>
        </w:rPr>
        <w:tab/>
      </w:r>
      <w:proofErr w:type="spellStart"/>
      <w:r>
        <w:rPr>
          <w:rFonts w:cs="Times New Roman"/>
          <w:sz w:val="24"/>
          <w:szCs w:val="24"/>
          <w:lang w:eastAsia="lv-LV" w:bidi="ar-SA"/>
        </w:rPr>
        <w:t>J.Garisons</w:t>
      </w:r>
      <w:proofErr w:type="spellEnd"/>
    </w:p>
    <w:p w:rsidR="007568C6" w:rsidRPr="0059138F" w:rsidRDefault="00BD58A2" w:rsidP="0059138F">
      <w:pPr>
        <w:ind w:left="-709" w:right="-477" w:hanging="426"/>
        <w:contextualSpacing/>
        <w:jc w:val="both"/>
        <w:rPr>
          <w:rFonts w:cs="Times New Roman"/>
          <w:lang w:eastAsia="lv-LV" w:bidi="ar-SA"/>
        </w:rPr>
      </w:pPr>
      <w:r w:rsidRPr="00AB76AB">
        <w:rPr>
          <w:rFonts w:cs="Times New Roman"/>
          <w:sz w:val="24"/>
          <w:szCs w:val="24"/>
          <w:lang w:eastAsia="lv-LV" w:bidi="ar-SA"/>
        </w:rPr>
        <w:t xml:space="preserve">     </w:t>
      </w:r>
    </w:p>
    <w:p w:rsidR="00110CF7" w:rsidRPr="0059138F" w:rsidRDefault="00110CF7" w:rsidP="0059138F">
      <w:pPr>
        <w:ind w:left="-709" w:right="-477" w:hanging="426"/>
        <w:contextualSpacing/>
        <w:jc w:val="both"/>
        <w:rPr>
          <w:rFonts w:cs="Times New Roman"/>
          <w:lang w:eastAsia="lv-LV" w:bidi="ar-SA"/>
        </w:rPr>
      </w:pPr>
    </w:p>
    <w:p w:rsidR="004F3FDC" w:rsidRDefault="004F3FDC" w:rsidP="0059138F">
      <w:pPr>
        <w:ind w:right="-477" w:hanging="426"/>
        <w:contextualSpacing/>
        <w:jc w:val="both"/>
        <w:rPr>
          <w:rFonts w:cs="Times New Roman"/>
          <w:lang w:eastAsia="lv-LV" w:bidi="ar-SA"/>
        </w:rPr>
      </w:pPr>
    </w:p>
    <w:p w:rsidR="004F3FDC" w:rsidRDefault="004F3FDC" w:rsidP="0059138F">
      <w:pPr>
        <w:ind w:right="-477" w:hanging="426"/>
        <w:contextualSpacing/>
        <w:jc w:val="both"/>
        <w:rPr>
          <w:rFonts w:cs="Times New Roman"/>
          <w:lang w:eastAsia="lv-LV" w:bidi="ar-SA"/>
        </w:rPr>
      </w:pPr>
    </w:p>
    <w:p w:rsidR="00286202" w:rsidRPr="004F3FDC" w:rsidRDefault="004F3FDC" w:rsidP="0059138F">
      <w:pPr>
        <w:ind w:right="-477" w:hanging="426"/>
        <w:contextualSpacing/>
        <w:jc w:val="both"/>
        <w:rPr>
          <w:rFonts w:cs="Times New Roman"/>
          <w:sz w:val="18"/>
          <w:szCs w:val="18"/>
          <w:lang w:eastAsia="lv-LV" w:bidi="ar-SA"/>
        </w:rPr>
      </w:pPr>
      <w:r w:rsidRPr="004F3FDC">
        <w:rPr>
          <w:rFonts w:cs="Times New Roman"/>
          <w:sz w:val="18"/>
          <w:szCs w:val="18"/>
          <w:lang w:eastAsia="lv-LV" w:bidi="ar-SA"/>
        </w:rPr>
        <w:t>09.08.2018. 12:40</w:t>
      </w:r>
    </w:p>
    <w:p w:rsidR="004F3FDC" w:rsidRPr="004F3FDC" w:rsidRDefault="004F3FDC" w:rsidP="0059138F">
      <w:pPr>
        <w:ind w:right="-477" w:hanging="426"/>
        <w:contextualSpacing/>
        <w:jc w:val="both"/>
        <w:rPr>
          <w:rFonts w:cs="Times New Roman"/>
          <w:sz w:val="18"/>
          <w:szCs w:val="18"/>
          <w:lang w:eastAsia="lv-LV" w:bidi="ar-SA"/>
        </w:rPr>
      </w:pPr>
      <w:r>
        <w:rPr>
          <w:rFonts w:cs="Times New Roman"/>
          <w:sz w:val="18"/>
          <w:szCs w:val="18"/>
          <w:lang w:eastAsia="lv-LV" w:bidi="ar-SA"/>
        </w:rPr>
        <w:t>1024</w:t>
      </w:r>
    </w:p>
    <w:p w:rsidR="004F3FDC" w:rsidRPr="004F3FDC" w:rsidRDefault="004F3FDC" w:rsidP="0059138F">
      <w:pPr>
        <w:ind w:right="-477" w:hanging="426"/>
        <w:contextualSpacing/>
        <w:jc w:val="both"/>
        <w:rPr>
          <w:sz w:val="18"/>
          <w:szCs w:val="18"/>
        </w:rPr>
      </w:pPr>
      <w:proofErr w:type="spellStart"/>
      <w:r w:rsidRPr="004F3FDC">
        <w:rPr>
          <w:rFonts w:cs="Times New Roman"/>
          <w:sz w:val="18"/>
          <w:szCs w:val="18"/>
          <w:lang w:eastAsia="lv-LV" w:bidi="ar-SA"/>
        </w:rPr>
        <w:t>Masāne</w:t>
      </w:r>
      <w:proofErr w:type="spellEnd"/>
      <w:r w:rsidRPr="004F3FDC">
        <w:rPr>
          <w:rFonts w:cs="Times New Roman"/>
          <w:sz w:val="18"/>
          <w:szCs w:val="18"/>
          <w:lang w:eastAsia="lv-LV" w:bidi="ar-SA"/>
        </w:rPr>
        <w:t xml:space="preserve">, </w:t>
      </w:r>
      <w:r w:rsidRPr="004F3FDC">
        <w:rPr>
          <w:sz w:val="18"/>
          <w:szCs w:val="18"/>
        </w:rPr>
        <w:t>67177804</w:t>
      </w:r>
    </w:p>
    <w:p w:rsidR="004F3FDC" w:rsidRPr="004F3FDC" w:rsidRDefault="006924B2" w:rsidP="0059138F">
      <w:pPr>
        <w:ind w:right="-477" w:hanging="426"/>
        <w:contextualSpacing/>
        <w:jc w:val="both"/>
        <w:rPr>
          <w:rFonts w:cs="Times New Roman"/>
          <w:sz w:val="18"/>
          <w:szCs w:val="18"/>
          <w:lang w:eastAsia="lv-LV" w:bidi="ar-SA"/>
        </w:rPr>
      </w:pPr>
      <w:hyperlink r:id="rId8" w:history="1">
        <w:r w:rsidR="004F3FDC" w:rsidRPr="004F3FDC">
          <w:rPr>
            <w:rStyle w:val="Hyperlink"/>
            <w:rFonts w:cs="Times New Roman"/>
            <w:sz w:val="18"/>
            <w:szCs w:val="18"/>
            <w:lang w:eastAsia="lv-LV" w:bidi="ar-SA"/>
          </w:rPr>
          <w:t>linda.masane@midd.gov.lv</w:t>
        </w:r>
      </w:hyperlink>
      <w:r w:rsidR="004F3FDC" w:rsidRPr="004F3FDC">
        <w:rPr>
          <w:rFonts w:cs="Times New Roman"/>
          <w:sz w:val="18"/>
          <w:szCs w:val="18"/>
          <w:lang w:eastAsia="lv-LV" w:bidi="ar-SA"/>
        </w:rPr>
        <w:t xml:space="preserve"> </w:t>
      </w:r>
    </w:p>
    <w:p w:rsidR="0059138F" w:rsidRPr="004F3FDC" w:rsidRDefault="0059138F" w:rsidP="0059138F">
      <w:pPr>
        <w:ind w:right="-477" w:hanging="426"/>
        <w:contextualSpacing/>
        <w:jc w:val="both"/>
        <w:rPr>
          <w:sz w:val="18"/>
          <w:szCs w:val="18"/>
        </w:rPr>
      </w:pPr>
    </w:p>
    <w:p w:rsidR="004F3FDC" w:rsidRDefault="004F3FDC" w:rsidP="0059138F">
      <w:pPr>
        <w:ind w:right="-477" w:hanging="426"/>
        <w:contextualSpacing/>
        <w:jc w:val="both"/>
      </w:pPr>
    </w:p>
    <w:p w:rsidR="004F3FDC" w:rsidRPr="004F3FDC" w:rsidRDefault="004F3FDC" w:rsidP="004F3FDC"/>
    <w:p w:rsidR="004F3FDC" w:rsidRPr="004F3FDC" w:rsidRDefault="004F3FDC" w:rsidP="004F3FDC"/>
    <w:p w:rsidR="004F3FDC" w:rsidRPr="004F3FDC" w:rsidRDefault="004F3FDC" w:rsidP="004F3FDC"/>
    <w:p w:rsidR="004F3FDC" w:rsidRPr="004F3FDC" w:rsidRDefault="004F3FDC" w:rsidP="004F3FDC"/>
    <w:p w:rsidR="004F3FDC" w:rsidRPr="004F3FDC" w:rsidRDefault="004F3FDC" w:rsidP="004F3FDC"/>
    <w:p w:rsidR="004F3FDC" w:rsidRDefault="004F3FDC" w:rsidP="004F3FDC"/>
    <w:p w:rsidR="0059138F" w:rsidRPr="004F3FDC" w:rsidRDefault="0059138F" w:rsidP="004F3FDC"/>
    <w:sectPr w:rsidR="0059138F" w:rsidRPr="004F3FDC" w:rsidSect="00C778F2">
      <w:headerReference w:type="default" r:id="rId9"/>
      <w:footerReference w:type="default" r:id="rId10"/>
      <w:footerReference w:type="first" r:id="rId11"/>
      <w:pgSz w:w="11906" w:h="16838"/>
      <w:pgMar w:top="1134" w:right="1797" w:bottom="1276" w:left="1797" w:header="68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F65" w:rsidRDefault="00844F65" w:rsidP="00F41C9E">
      <w:r>
        <w:separator/>
      </w:r>
    </w:p>
  </w:endnote>
  <w:endnote w:type="continuationSeparator" w:id="0">
    <w:p w:rsidR="00844F65" w:rsidRDefault="00844F65" w:rsidP="00F4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FDC" w:rsidRDefault="004F3FDC" w:rsidP="004F3FDC">
    <w:pPr>
      <w:pStyle w:val="Footer"/>
      <w:tabs>
        <w:tab w:val="clear" w:pos="8306"/>
        <w:tab w:val="right" w:pos="8789"/>
      </w:tabs>
      <w:ind w:right="-477"/>
      <w:jc w:val="both"/>
    </w:pPr>
    <w:proofErr w:type="spellStart"/>
    <w:r>
      <w:t>AIMAnot_Sengenas</w:t>
    </w:r>
    <w:proofErr w:type="spellEnd"/>
    <w:r>
      <w:t xml:space="preserve"> likums</w:t>
    </w:r>
  </w:p>
  <w:p w:rsidR="00844F65" w:rsidRDefault="00844F65" w:rsidP="00F572FE">
    <w:pPr>
      <w:pStyle w:val="Footer"/>
      <w:tabs>
        <w:tab w:val="clear" w:pos="8306"/>
      </w:tabs>
      <w:ind w:left="-426" w:right="-477"/>
      <w:jc w:val="both"/>
    </w:pPr>
  </w:p>
  <w:p w:rsidR="00844F65" w:rsidRDefault="00844F65" w:rsidP="00F572FE">
    <w:pPr>
      <w:pStyle w:val="Footer"/>
      <w:ind w:right="-477"/>
      <w:jc w:val="both"/>
    </w:pPr>
  </w:p>
  <w:p w:rsidR="00844F65" w:rsidRDefault="00844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F65" w:rsidRDefault="004F3FDC" w:rsidP="004F3FDC">
    <w:pPr>
      <w:pStyle w:val="Footer"/>
      <w:tabs>
        <w:tab w:val="clear" w:pos="8306"/>
        <w:tab w:val="right" w:pos="8789"/>
      </w:tabs>
      <w:ind w:right="-477"/>
      <w:jc w:val="both"/>
    </w:pPr>
    <w:proofErr w:type="spellStart"/>
    <w:r>
      <w:t>AIMAnot_Sengenas</w:t>
    </w:r>
    <w:proofErr w:type="spellEnd"/>
    <w:r>
      <w:t xml:space="preserve"> likums</w:t>
    </w:r>
  </w:p>
  <w:p w:rsidR="00844F65" w:rsidRDefault="00844F65">
    <w:pPr>
      <w:pStyle w:val="Footer"/>
    </w:pPr>
  </w:p>
  <w:p w:rsidR="00844F65" w:rsidRDefault="00844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F65" w:rsidRDefault="00844F65" w:rsidP="00F41C9E">
      <w:r>
        <w:separator/>
      </w:r>
    </w:p>
  </w:footnote>
  <w:footnote w:type="continuationSeparator" w:id="0">
    <w:p w:rsidR="00844F65" w:rsidRDefault="00844F65" w:rsidP="00F41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873967"/>
      <w:docPartObj>
        <w:docPartGallery w:val="Page Numbers (Top of Page)"/>
        <w:docPartUnique/>
      </w:docPartObj>
    </w:sdtPr>
    <w:sdtEndPr>
      <w:rPr>
        <w:noProof/>
      </w:rPr>
    </w:sdtEndPr>
    <w:sdtContent>
      <w:p w:rsidR="00844F65" w:rsidRDefault="00236A50">
        <w:pPr>
          <w:pStyle w:val="Header"/>
          <w:jc w:val="center"/>
        </w:pPr>
        <w:r>
          <w:rPr>
            <w:noProof/>
          </w:rPr>
          <w:fldChar w:fldCharType="begin"/>
        </w:r>
        <w:r>
          <w:rPr>
            <w:noProof/>
          </w:rPr>
          <w:instrText xml:space="preserve"> PAGE   \* MERGEFORMAT </w:instrText>
        </w:r>
        <w:r>
          <w:rPr>
            <w:noProof/>
          </w:rPr>
          <w:fldChar w:fldCharType="separate"/>
        </w:r>
        <w:r w:rsidR="006924B2">
          <w:rPr>
            <w:noProof/>
          </w:rPr>
          <w:t>4</w:t>
        </w:r>
        <w:r>
          <w:rPr>
            <w:noProof/>
          </w:rPr>
          <w:fldChar w:fldCharType="end"/>
        </w:r>
      </w:p>
    </w:sdtContent>
  </w:sdt>
  <w:p w:rsidR="00844F65" w:rsidRDefault="00844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E7628"/>
    <w:multiLevelType w:val="hybridMultilevel"/>
    <w:tmpl w:val="9CCA68E6"/>
    <w:lvl w:ilvl="0" w:tplc="78D275DC">
      <w:start w:val="1"/>
      <w:numFmt w:val="decimal"/>
      <w:lvlText w:val="%1)"/>
      <w:lvlJc w:val="left"/>
      <w:pPr>
        <w:ind w:left="720" w:hanging="360"/>
      </w:pPr>
      <w:rPr>
        <w:rFonts w:hint="default"/>
      </w:rPr>
    </w:lvl>
    <w:lvl w:ilvl="1" w:tplc="E830139A" w:tentative="1">
      <w:start w:val="1"/>
      <w:numFmt w:val="lowerLetter"/>
      <w:lvlText w:val="%2."/>
      <w:lvlJc w:val="left"/>
      <w:pPr>
        <w:ind w:left="1440" w:hanging="360"/>
      </w:pPr>
    </w:lvl>
    <w:lvl w:ilvl="2" w:tplc="57B8B604" w:tentative="1">
      <w:start w:val="1"/>
      <w:numFmt w:val="lowerRoman"/>
      <w:lvlText w:val="%3."/>
      <w:lvlJc w:val="right"/>
      <w:pPr>
        <w:ind w:left="2160" w:hanging="180"/>
      </w:pPr>
    </w:lvl>
    <w:lvl w:ilvl="3" w:tplc="41280D32" w:tentative="1">
      <w:start w:val="1"/>
      <w:numFmt w:val="decimal"/>
      <w:lvlText w:val="%4."/>
      <w:lvlJc w:val="left"/>
      <w:pPr>
        <w:ind w:left="2880" w:hanging="360"/>
      </w:pPr>
    </w:lvl>
    <w:lvl w:ilvl="4" w:tplc="788C022C" w:tentative="1">
      <w:start w:val="1"/>
      <w:numFmt w:val="lowerLetter"/>
      <w:lvlText w:val="%5."/>
      <w:lvlJc w:val="left"/>
      <w:pPr>
        <w:ind w:left="3600" w:hanging="360"/>
      </w:pPr>
    </w:lvl>
    <w:lvl w:ilvl="5" w:tplc="AD901132" w:tentative="1">
      <w:start w:val="1"/>
      <w:numFmt w:val="lowerRoman"/>
      <w:lvlText w:val="%6."/>
      <w:lvlJc w:val="right"/>
      <w:pPr>
        <w:ind w:left="4320" w:hanging="180"/>
      </w:pPr>
    </w:lvl>
    <w:lvl w:ilvl="6" w:tplc="1E283F34" w:tentative="1">
      <w:start w:val="1"/>
      <w:numFmt w:val="decimal"/>
      <w:lvlText w:val="%7."/>
      <w:lvlJc w:val="left"/>
      <w:pPr>
        <w:ind w:left="5040" w:hanging="360"/>
      </w:pPr>
    </w:lvl>
    <w:lvl w:ilvl="7" w:tplc="F7C03FBA" w:tentative="1">
      <w:start w:val="1"/>
      <w:numFmt w:val="lowerLetter"/>
      <w:lvlText w:val="%8."/>
      <w:lvlJc w:val="left"/>
      <w:pPr>
        <w:ind w:left="5760" w:hanging="360"/>
      </w:pPr>
    </w:lvl>
    <w:lvl w:ilvl="8" w:tplc="4E546F32" w:tentative="1">
      <w:start w:val="1"/>
      <w:numFmt w:val="lowerRoman"/>
      <w:lvlText w:val="%9."/>
      <w:lvlJc w:val="right"/>
      <w:pPr>
        <w:ind w:left="6480" w:hanging="180"/>
      </w:pPr>
    </w:lvl>
  </w:abstractNum>
  <w:abstractNum w:abstractNumId="1" w15:restartNumberingAfterBreak="0">
    <w:nsid w:val="2FEA588F"/>
    <w:multiLevelType w:val="hybridMultilevel"/>
    <w:tmpl w:val="8A8A699C"/>
    <w:lvl w:ilvl="0" w:tplc="F4E6B90A">
      <w:start w:val="1"/>
      <w:numFmt w:val="decimal"/>
      <w:lvlText w:val="%1)"/>
      <w:lvlJc w:val="left"/>
      <w:pPr>
        <w:ind w:left="720" w:hanging="360"/>
      </w:pPr>
      <w:rPr>
        <w:rFonts w:hint="default"/>
      </w:rPr>
    </w:lvl>
    <w:lvl w:ilvl="1" w:tplc="3D2C4AFA" w:tentative="1">
      <w:start w:val="1"/>
      <w:numFmt w:val="lowerLetter"/>
      <w:lvlText w:val="%2."/>
      <w:lvlJc w:val="left"/>
      <w:pPr>
        <w:ind w:left="1440" w:hanging="360"/>
      </w:pPr>
    </w:lvl>
    <w:lvl w:ilvl="2" w:tplc="B70CD1A6" w:tentative="1">
      <w:start w:val="1"/>
      <w:numFmt w:val="lowerRoman"/>
      <w:lvlText w:val="%3."/>
      <w:lvlJc w:val="right"/>
      <w:pPr>
        <w:ind w:left="2160" w:hanging="180"/>
      </w:pPr>
    </w:lvl>
    <w:lvl w:ilvl="3" w:tplc="63D68B06" w:tentative="1">
      <w:start w:val="1"/>
      <w:numFmt w:val="decimal"/>
      <w:lvlText w:val="%4."/>
      <w:lvlJc w:val="left"/>
      <w:pPr>
        <w:ind w:left="2880" w:hanging="360"/>
      </w:pPr>
    </w:lvl>
    <w:lvl w:ilvl="4" w:tplc="E34ECBB2" w:tentative="1">
      <w:start w:val="1"/>
      <w:numFmt w:val="lowerLetter"/>
      <w:lvlText w:val="%5."/>
      <w:lvlJc w:val="left"/>
      <w:pPr>
        <w:ind w:left="3600" w:hanging="360"/>
      </w:pPr>
    </w:lvl>
    <w:lvl w:ilvl="5" w:tplc="E93C44EE" w:tentative="1">
      <w:start w:val="1"/>
      <w:numFmt w:val="lowerRoman"/>
      <w:lvlText w:val="%6."/>
      <w:lvlJc w:val="right"/>
      <w:pPr>
        <w:ind w:left="4320" w:hanging="180"/>
      </w:pPr>
    </w:lvl>
    <w:lvl w:ilvl="6" w:tplc="A9D8555A" w:tentative="1">
      <w:start w:val="1"/>
      <w:numFmt w:val="decimal"/>
      <w:lvlText w:val="%7."/>
      <w:lvlJc w:val="left"/>
      <w:pPr>
        <w:ind w:left="5040" w:hanging="360"/>
      </w:pPr>
    </w:lvl>
    <w:lvl w:ilvl="7" w:tplc="DBAABBC2" w:tentative="1">
      <w:start w:val="1"/>
      <w:numFmt w:val="lowerLetter"/>
      <w:lvlText w:val="%8."/>
      <w:lvlJc w:val="left"/>
      <w:pPr>
        <w:ind w:left="5760" w:hanging="360"/>
      </w:pPr>
    </w:lvl>
    <w:lvl w:ilvl="8" w:tplc="8DAC60DA" w:tentative="1">
      <w:start w:val="1"/>
      <w:numFmt w:val="lowerRoman"/>
      <w:lvlText w:val="%9."/>
      <w:lvlJc w:val="right"/>
      <w:pPr>
        <w:ind w:left="6480" w:hanging="180"/>
      </w:pPr>
    </w:lvl>
  </w:abstractNum>
  <w:abstractNum w:abstractNumId="2" w15:restartNumberingAfterBreak="0">
    <w:nsid w:val="3D7E4D63"/>
    <w:multiLevelType w:val="hybridMultilevel"/>
    <w:tmpl w:val="C1660324"/>
    <w:lvl w:ilvl="0" w:tplc="8B942CFC">
      <w:start w:val="5"/>
      <w:numFmt w:val="bullet"/>
      <w:lvlText w:val="-"/>
      <w:lvlJc w:val="left"/>
      <w:pPr>
        <w:ind w:left="720" w:hanging="360"/>
      </w:pPr>
      <w:rPr>
        <w:rFonts w:ascii="Times New Roman" w:eastAsia="Times New Roman" w:hAnsi="Times New Roman" w:cs="Times New Roman" w:hint="default"/>
      </w:rPr>
    </w:lvl>
    <w:lvl w:ilvl="1" w:tplc="3E8ABD20" w:tentative="1">
      <w:start w:val="1"/>
      <w:numFmt w:val="bullet"/>
      <w:lvlText w:val="o"/>
      <w:lvlJc w:val="left"/>
      <w:pPr>
        <w:ind w:left="1440" w:hanging="360"/>
      </w:pPr>
      <w:rPr>
        <w:rFonts w:ascii="Courier New" w:hAnsi="Courier New" w:cs="Courier New" w:hint="default"/>
      </w:rPr>
    </w:lvl>
    <w:lvl w:ilvl="2" w:tplc="F482C9C2" w:tentative="1">
      <w:start w:val="1"/>
      <w:numFmt w:val="bullet"/>
      <w:lvlText w:val=""/>
      <w:lvlJc w:val="left"/>
      <w:pPr>
        <w:ind w:left="2160" w:hanging="360"/>
      </w:pPr>
      <w:rPr>
        <w:rFonts w:ascii="Wingdings" w:hAnsi="Wingdings" w:hint="default"/>
      </w:rPr>
    </w:lvl>
    <w:lvl w:ilvl="3" w:tplc="A92A401C" w:tentative="1">
      <w:start w:val="1"/>
      <w:numFmt w:val="bullet"/>
      <w:lvlText w:val=""/>
      <w:lvlJc w:val="left"/>
      <w:pPr>
        <w:ind w:left="2880" w:hanging="360"/>
      </w:pPr>
      <w:rPr>
        <w:rFonts w:ascii="Symbol" w:hAnsi="Symbol" w:hint="default"/>
      </w:rPr>
    </w:lvl>
    <w:lvl w:ilvl="4" w:tplc="E1DC6E10" w:tentative="1">
      <w:start w:val="1"/>
      <w:numFmt w:val="bullet"/>
      <w:lvlText w:val="o"/>
      <w:lvlJc w:val="left"/>
      <w:pPr>
        <w:ind w:left="3600" w:hanging="360"/>
      </w:pPr>
      <w:rPr>
        <w:rFonts w:ascii="Courier New" w:hAnsi="Courier New" w:cs="Courier New" w:hint="default"/>
      </w:rPr>
    </w:lvl>
    <w:lvl w:ilvl="5" w:tplc="E692EF16" w:tentative="1">
      <w:start w:val="1"/>
      <w:numFmt w:val="bullet"/>
      <w:lvlText w:val=""/>
      <w:lvlJc w:val="left"/>
      <w:pPr>
        <w:ind w:left="4320" w:hanging="360"/>
      </w:pPr>
      <w:rPr>
        <w:rFonts w:ascii="Wingdings" w:hAnsi="Wingdings" w:hint="default"/>
      </w:rPr>
    </w:lvl>
    <w:lvl w:ilvl="6" w:tplc="CD1420F4" w:tentative="1">
      <w:start w:val="1"/>
      <w:numFmt w:val="bullet"/>
      <w:lvlText w:val=""/>
      <w:lvlJc w:val="left"/>
      <w:pPr>
        <w:ind w:left="5040" w:hanging="360"/>
      </w:pPr>
      <w:rPr>
        <w:rFonts w:ascii="Symbol" w:hAnsi="Symbol" w:hint="default"/>
      </w:rPr>
    </w:lvl>
    <w:lvl w:ilvl="7" w:tplc="760AC168" w:tentative="1">
      <w:start w:val="1"/>
      <w:numFmt w:val="bullet"/>
      <w:lvlText w:val="o"/>
      <w:lvlJc w:val="left"/>
      <w:pPr>
        <w:ind w:left="5760" w:hanging="360"/>
      </w:pPr>
      <w:rPr>
        <w:rFonts w:ascii="Courier New" w:hAnsi="Courier New" w:cs="Courier New" w:hint="default"/>
      </w:rPr>
    </w:lvl>
    <w:lvl w:ilvl="8" w:tplc="45D43A68" w:tentative="1">
      <w:start w:val="1"/>
      <w:numFmt w:val="bullet"/>
      <w:lvlText w:val=""/>
      <w:lvlJc w:val="left"/>
      <w:pPr>
        <w:ind w:left="6480" w:hanging="360"/>
      </w:pPr>
      <w:rPr>
        <w:rFonts w:ascii="Wingdings" w:hAnsi="Wingdings" w:hint="default"/>
      </w:rPr>
    </w:lvl>
  </w:abstractNum>
  <w:abstractNum w:abstractNumId="3" w15:restartNumberingAfterBreak="0">
    <w:nsid w:val="3FD92C9B"/>
    <w:multiLevelType w:val="hybridMultilevel"/>
    <w:tmpl w:val="9CCA68E6"/>
    <w:lvl w:ilvl="0" w:tplc="891446E2">
      <w:start w:val="1"/>
      <w:numFmt w:val="decimal"/>
      <w:lvlText w:val="%1)"/>
      <w:lvlJc w:val="left"/>
      <w:pPr>
        <w:ind w:left="720" w:hanging="360"/>
      </w:pPr>
      <w:rPr>
        <w:rFonts w:hint="default"/>
      </w:rPr>
    </w:lvl>
    <w:lvl w:ilvl="1" w:tplc="D77073B8" w:tentative="1">
      <w:start w:val="1"/>
      <w:numFmt w:val="lowerLetter"/>
      <w:lvlText w:val="%2."/>
      <w:lvlJc w:val="left"/>
      <w:pPr>
        <w:ind w:left="1440" w:hanging="360"/>
      </w:pPr>
    </w:lvl>
    <w:lvl w:ilvl="2" w:tplc="DB307254" w:tentative="1">
      <w:start w:val="1"/>
      <w:numFmt w:val="lowerRoman"/>
      <w:lvlText w:val="%3."/>
      <w:lvlJc w:val="right"/>
      <w:pPr>
        <w:ind w:left="2160" w:hanging="180"/>
      </w:pPr>
    </w:lvl>
    <w:lvl w:ilvl="3" w:tplc="97D42EC8" w:tentative="1">
      <w:start w:val="1"/>
      <w:numFmt w:val="decimal"/>
      <w:lvlText w:val="%4."/>
      <w:lvlJc w:val="left"/>
      <w:pPr>
        <w:ind w:left="2880" w:hanging="360"/>
      </w:pPr>
    </w:lvl>
    <w:lvl w:ilvl="4" w:tplc="35F6A81A" w:tentative="1">
      <w:start w:val="1"/>
      <w:numFmt w:val="lowerLetter"/>
      <w:lvlText w:val="%5."/>
      <w:lvlJc w:val="left"/>
      <w:pPr>
        <w:ind w:left="3600" w:hanging="360"/>
      </w:pPr>
    </w:lvl>
    <w:lvl w:ilvl="5" w:tplc="958ED008" w:tentative="1">
      <w:start w:val="1"/>
      <w:numFmt w:val="lowerRoman"/>
      <w:lvlText w:val="%6."/>
      <w:lvlJc w:val="right"/>
      <w:pPr>
        <w:ind w:left="4320" w:hanging="180"/>
      </w:pPr>
    </w:lvl>
    <w:lvl w:ilvl="6" w:tplc="7028181E" w:tentative="1">
      <w:start w:val="1"/>
      <w:numFmt w:val="decimal"/>
      <w:lvlText w:val="%7."/>
      <w:lvlJc w:val="left"/>
      <w:pPr>
        <w:ind w:left="5040" w:hanging="360"/>
      </w:pPr>
    </w:lvl>
    <w:lvl w:ilvl="7" w:tplc="9732ED94" w:tentative="1">
      <w:start w:val="1"/>
      <w:numFmt w:val="lowerLetter"/>
      <w:lvlText w:val="%8."/>
      <w:lvlJc w:val="left"/>
      <w:pPr>
        <w:ind w:left="5760" w:hanging="360"/>
      </w:pPr>
    </w:lvl>
    <w:lvl w:ilvl="8" w:tplc="E788FF00" w:tentative="1">
      <w:start w:val="1"/>
      <w:numFmt w:val="lowerRoman"/>
      <w:lvlText w:val="%9."/>
      <w:lvlJc w:val="right"/>
      <w:pPr>
        <w:ind w:left="6480" w:hanging="180"/>
      </w:pPr>
    </w:lvl>
  </w:abstractNum>
  <w:abstractNum w:abstractNumId="4" w15:restartNumberingAfterBreak="0">
    <w:nsid w:val="419D5400"/>
    <w:multiLevelType w:val="hybridMultilevel"/>
    <w:tmpl w:val="9CCA68E6"/>
    <w:lvl w:ilvl="0" w:tplc="9B686B9C">
      <w:start w:val="1"/>
      <w:numFmt w:val="decimal"/>
      <w:lvlText w:val="%1)"/>
      <w:lvlJc w:val="left"/>
      <w:pPr>
        <w:ind w:left="720" w:hanging="360"/>
      </w:pPr>
      <w:rPr>
        <w:rFonts w:hint="default"/>
      </w:rPr>
    </w:lvl>
    <w:lvl w:ilvl="1" w:tplc="D160C69C" w:tentative="1">
      <w:start w:val="1"/>
      <w:numFmt w:val="lowerLetter"/>
      <w:lvlText w:val="%2."/>
      <w:lvlJc w:val="left"/>
      <w:pPr>
        <w:ind w:left="1440" w:hanging="360"/>
      </w:pPr>
    </w:lvl>
    <w:lvl w:ilvl="2" w:tplc="F6FA8850" w:tentative="1">
      <w:start w:val="1"/>
      <w:numFmt w:val="lowerRoman"/>
      <w:lvlText w:val="%3."/>
      <w:lvlJc w:val="right"/>
      <w:pPr>
        <w:ind w:left="2160" w:hanging="180"/>
      </w:pPr>
    </w:lvl>
    <w:lvl w:ilvl="3" w:tplc="C6B46336" w:tentative="1">
      <w:start w:val="1"/>
      <w:numFmt w:val="decimal"/>
      <w:lvlText w:val="%4."/>
      <w:lvlJc w:val="left"/>
      <w:pPr>
        <w:ind w:left="2880" w:hanging="360"/>
      </w:pPr>
    </w:lvl>
    <w:lvl w:ilvl="4" w:tplc="97003F7C" w:tentative="1">
      <w:start w:val="1"/>
      <w:numFmt w:val="lowerLetter"/>
      <w:lvlText w:val="%5."/>
      <w:lvlJc w:val="left"/>
      <w:pPr>
        <w:ind w:left="3600" w:hanging="360"/>
      </w:pPr>
    </w:lvl>
    <w:lvl w:ilvl="5" w:tplc="055AC08C" w:tentative="1">
      <w:start w:val="1"/>
      <w:numFmt w:val="lowerRoman"/>
      <w:lvlText w:val="%6."/>
      <w:lvlJc w:val="right"/>
      <w:pPr>
        <w:ind w:left="4320" w:hanging="180"/>
      </w:pPr>
    </w:lvl>
    <w:lvl w:ilvl="6" w:tplc="4BFC538C" w:tentative="1">
      <w:start w:val="1"/>
      <w:numFmt w:val="decimal"/>
      <w:lvlText w:val="%7."/>
      <w:lvlJc w:val="left"/>
      <w:pPr>
        <w:ind w:left="5040" w:hanging="360"/>
      </w:pPr>
    </w:lvl>
    <w:lvl w:ilvl="7" w:tplc="9380257A" w:tentative="1">
      <w:start w:val="1"/>
      <w:numFmt w:val="lowerLetter"/>
      <w:lvlText w:val="%8."/>
      <w:lvlJc w:val="left"/>
      <w:pPr>
        <w:ind w:left="5760" w:hanging="360"/>
      </w:pPr>
    </w:lvl>
    <w:lvl w:ilvl="8" w:tplc="34E800E0"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67"/>
    <w:rsid w:val="00004593"/>
    <w:rsid w:val="000209AA"/>
    <w:rsid w:val="00034D90"/>
    <w:rsid w:val="000356BC"/>
    <w:rsid w:val="00042181"/>
    <w:rsid w:val="00042F0F"/>
    <w:rsid w:val="00045145"/>
    <w:rsid w:val="000467E8"/>
    <w:rsid w:val="00055AF4"/>
    <w:rsid w:val="00073C4C"/>
    <w:rsid w:val="00077503"/>
    <w:rsid w:val="00085CA6"/>
    <w:rsid w:val="000871FA"/>
    <w:rsid w:val="000937FD"/>
    <w:rsid w:val="000A2455"/>
    <w:rsid w:val="000A783A"/>
    <w:rsid w:val="000B17D3"/>
    <w:rsid w:val="000B465F"/>
    <w:rsid w:val="000C37EA"/>
    <w:rsid w:val="000C5891"/>
    <w:rsid w:val="000D0641"/>
    <w:rsid w:val="000D0727"/>
    <w:rsid w:val="000D4B45"/>
    <w:rsid w:val="000F493B"/>
    <w:rsid w:val="00104688"/>
    <w:rsid w:val="00106707"/>
    <w:rsid w:val="001101B8"/>
    <w:rsid w:val="00110CF7"/>
    <w:rsid w:val="00114DF4"/>
    <w:rsid w:val="00115366"/>
    <w:rsid w:val="00121FAA"/>
    <w:rsid w:val="00122B95"/>
    <w:rsid w:val="00124086"/>
    <w:rsid w:val="00131927"/>
    <w:rsid w:val="00135EE7"/>
    <w:rsid w:val="0013670B"/>
    <w:rsid w:val="00137257"/>
    <w:rsid w:val="00141E77"/>
    <w:rsid w:val="00146413"/>
    <w:rsid w:val="00147110"/>
    <w:rsid w:val="0015005A"/>
    <w:rsid w:val="00150778"/>
    <w:rsid w:val="00172ECA"/>
    <w:rsid w:val="00184417"/>
    <w:rsid w:val="00186527"/>
    <w:rsid w:val="00192E38"/>
    <w:rsid w:val="001A16AF"/>
    <w:rsid w:val="001A3F5A"/>
    <w:rsid w:val="001A5282"/>
    <w:rsid w:val="001A602A"/>
    <w:rsid w:val="001B2B3C"/>
    <w:rsid w:val="001B42A7"/>
    <w:rsid w:val="001C0FC5"/>
    <w:rsid w:val="001C25DB"/>
    <w:rsid w:val="001C3BD5"/>
    <w:rsid w:val="001C50DC"/>
    <w:rsid w:val="001C6616"/>
    <w:rsid w:val="001D5C7A"/>
    <w:rsid w:val="001E07B4"/>
    <w:rsid w:val="001E1323"/>
    <w:rsid w:val="001E1F7B"/>
    <w:rsid w:val="001E7CA9"/>
    <w:rsid w:val="001F6099"/>
    <w:rsid w:val="00200377"/>
    <w:rsid w:val="00204FD2"/>
    <w:rsid w:val="002071BA"/>
    <w:rsid w:val="002071EB"/>
    <w:rsid w:val="00211CAA"/>
    <w:rsid w:val="00214049"/>
    <w:rsid w:val="00217186"/>
    <w:rsid w:val="00221928"/>
    <w:rsid w:val="00226001"/>
    <w:rsid w:val="002276DA"/>
    <w:rsid w:val="00230186"/>
    <w:rsid w:val="00230D1E"/>
    <w:rsid w:val="00235A56"/>
    <w:rsid w:val="00236A50"/>
    <w:rsid w:val="002437FE"/>
    <w:rsid w:val="0024750C"/>
    <w:rsid w:val="00260C90"/>
    <w:rsid w:val="0026236D"/>
    <w:rsid w:val="00264C12"/>
    <w:rsid w:val="002657D6"/>
    <w:rsid w:val="00276ACB"/>
    <w:rsid w:val="00281AF8"/>
    <w:rsid w:val="00285737"/>
    <w:rsid w:val="00286202"/>
    <w:rsid w:val="0029183A"/>
    <w:rsid w:val="00294981"/>
    <w:rsid w:val="002A05A7"/>
    <w:rsid w:val="002A5FAE"/>
    <w:rsid w:val="002B3C15"/>
    <w:rsid w:val="002B7C59"/>
    <w:rsid w:val="002C2201"/>
    <w:rsid w:val="002C2611"/>
    <w:rsid w:val="002C63FF"/>
    <w:rsid w:val="002D6E02"/>
    <w:rsid w:val="002E7BE1"/>
    <w:rsid w:val="002F4AF9"/>
    <w:rsid w:val="00302CB0"/>
    <w:rsid w:val="003031C9"/>
    <w:rsid w:val="00304507"/>
    <w:rsid w:val="00310068"/>
    <w:rsid w:val="003103CD"/>
    <w:rsid w:val="00310EA5"/>
    <w:rsid w:val="00332D02"/>
    <w:rsid w:val="003336F6"/>
    <w:rsid w:val="00340B8D"/>
    <w:rsid w:val="00344B42"/>
    <w:rsid w:val="00352465"/>
    <w:rsid w:val="00355642"/>
    <w:rsid w:val="00364681"/>
    <w:rsid w:val="00372DA4"/>
    <w:rsid w:val="003909C9"/>
    <w:rsid w:val="00392774"/>
    <w:rsid w:val="00396F6B"/>
    <w:rsid w:val="003A10A1"/>
    <w:rsid w:val="003A2194"/>
    <w:rsid w:val="003A2432"/>
    <w:rsid w:val="003A39A8"/>
    <w:rsid w:val="003A56E4"/>
    <w:rsid w:val="003B135F"/>
    <w:rsid w:val="003C497E"/>
    <w:rsid w:val="003C5875"/>
    <w:rsid w:val="003E1882"/>
    <w:rsid w:val="003E53AB"/>
    <w:rsid w:val="003F7B80"/>
    <w:rsid w:val="00401CD0"/>
    <w:rsid w:val="00403F45"/>
    <w:rsid w:val="0041677F"/>
    <w:rsid w:val="00424B4B"/>
    <w:rsid w:val="00437AC5"/>
    <w:rsid w:val="004440C6"/>
    <w:rsid w:val="00457A2D"/>
    <w:rsid w:val="0047737E"/>
    <w:rsid w:val="0048236C"/>
    <w:rsid w:val="004B2601"/>
    <w:rsid w:val="004C2B6A"/>
    <w:rsid w:val="004C2CA6"/>
    <w:rsid w:val="004C43E3"/>
    <w:rsid w:val="004D26A3"/>
    <w:rsid w:val="004D3C20"/>
    <w:rsid w:val="004D5F2A"/>
    <w:rsid w:val="004D6CBB"/>
    <w:rsid w:val="004E1095"/>
    <w:rsid w:val="004E131D"/>
    <w:rsid w:val="004F3FDC"/>
    <w:rsid w:val="004F77DB"/>
    <w:rsid w:val="004F7C38"/>
    <w:rsid w:val="00500588"/>
    <w:rsid w:val="00511A3D"/>
    <w:rsid w:val="00521500"/>
    <w:rsid w:val="005304F3"/>
    <w:rsid w:val="00547658"/>
    <w:rsid w:val="00557AD2"/>
    <w:rsid w:val="0056171E"/>
    <w:rsid w:val="00564858"/>
    <w:rsid w:val="005669FA"/>
    <w:rsid w:val="00576413"/>
    <w:rsid w:val="005841AD"/>
    <w:rsid w:val="005864ED"/>
    <w:rsid w:val="0059118B"/>
    <w:rsid w:val="0059138F"/>
    <w:rsid w:val="00594E03"/>
    <w:rsid w:val="00596553"/>
    <w:rsid w:val="005A3D73"/>
    <w:rsid w:val="005A6830"/>
    <w:rsid w:val="005A6B38"/>
    <w:rsid w:val="005B3197"/>
    <w:rsid w:val="005B4C6F"/>
    <w:rsid w:val="005B6A53"/>
    <w:rsid w:val="005D51D3"/>
    <w:rsid w:val="005E78B8"/>
    <w:rsid w:val="005F520F"/>
    <w:rsid w:val="005F5249"/>
    <w:rsid w:val="005F6C51"/>
    <w:rsid w:val="00627937"/>
    <w:rsid w:val="00636B85"/>
    <w:rsid w:val="00641D67"/>
    <w:rsid w:val="00647166"/>
    <w:rsid w:val="00654173"/>
    <w:rsid w:val="00667ACF"/>
    <w:rsid w:val="00683762"/>
    <w:rsid w:val="00686C54"/>
    <w:rsid w:val="00690A12"/>
    <w:rsid w:val="00690D8F"/>
    <w:rsid w:val="006924B2"/>
    <w:rsid w:val="006951DE"/>
    <w:rsid w:val="006A53E6"/>
    <w:rsid w:val="006B247E"/>
    <w:rsid w:val="006B24B8"/>
    <w:rsid w:val="006B3862"/>
    <w:rsid w:val="006B4918"/>
    <w:rsid w:val="006C2785"/>
    <w:rsid w:val="006D079F"/>
    <w:rsid w:val="006D1E8B"/>
    <w:rsid w:val="006D2226"/>
    <w:rsid w:val="006D358B"/>
    <w:rsid w:val="006D39EB"/>
    <w:rsid w:val="006E57B1"/>
    <w:rsid w:val="006E64F5"/>
    <w:rsid w:val="007027FC"/>
    <w:rsid w:val="00712AA9"/>
    <w:rsid w:val="00715107"/>
    <w:rsid w:val="007166EF"/>
    <w:rsid w:val="00721C60"/>
    <w:rsid w:val="00723144"/>
    <w:rsid w:val="00723FED"/>
    <w:rsid w:val="007323F0"/>
    <w:rsid w:val="00745C55"/>
    <w:rsid w:val="00751997"/>
    <w:rsid w:val="007568C6"/>
    <w:rsid w:val="0076163E"/>
    <w:rsid w:val="007635F3"/>
    <w:rsid w:val="00773015"/>
    <w:rsid w:val="00780963"/>
    <w:rsid w:val="00782F9D"/>
    <w:rsid w:val="00783C3F"/>
    <w:rsid w:val="00790815"/>
    <w:rsid w:val="00790A41"/>
    <w:rsid w:val="007942C7"/>
    <w:rsid w:val="007961BE"/>
    <w:rsid w:val="007A0562"/>
    <w:rsid w:val="007A1516"/>
    <w:rsid w:val="007A2BEC"/>
    <w:rsid w:val="007A5830"/>
    <w:rsid w:val="007B4926"/>
    <w:rsid w:val="007B4E5A"/>
    <w:rsid w:val="007C1053"/>
    <w:rsid w:val="007C4235"/>
    <w:rsid w:val="007C4454"/>
    <w:rsid w:val="007D21DE"/>
    <w:rsid w:val="007D40A7"/>
    <w:rsid w:val="007D6CFC"/>
    <w:rsid w:val="007E1B18"/>
    <w:rsid w:val="007E5ADE"/>
    <w:rsid w:val="007E7631"/>
    <w:rsid w:val="007F4377"/>
    <w:rsid w:val="00802F61"/>
    <w:rsid w:val="00810771"/>
    <w:rsid w:val="00813ECC"/>
    <w:rsid w:val="008171F7"/>
    <w:rsid w:val="00820CE8"/>
    <w:rsid w:val="0083688D"/>
    <w:rsid w:val="008444EF"/>
    <w:rsid w:val="00844558"/>
    <w:rsid w:val="00844F65"/>
    <w:rsid w:val="00853436"/>
    <w:rsid w:val="00854C82"/>
    <w:rsid w:val="0085598F"/>
    <w:rsid w:val="00856AAF"/>
    <w:rsid w:val="00856F83"/>
    <w:rsid w:val="0088025F"/>
    <w:rsid w:val="008804EF"/>
    <w:rsid w:val="00886FE4"/>
    <w:rsid w:val="00887993"/>
    <w:rsid w:val="00892928"/>
    <w:rsid w:val="008944AB"/>
    <w:rsid w:val="008A3834"/>
    <w:rsid w:val="008A6D6A"/>
    <w:rsid w:val="008B0935"/>
    <w:rsid w:val="008B3CF4"/>
    <w:rsid w:val="008B54E5"/>
    <w:rsid w:val="008C0949"/>
    <w:rsid w:val="008C1C39"/>
    <w:rsid w:val="008C2F87"/>
    <w:rsid w:val="008D33C0"/>
    <w:rsid w:val="008E6D94"/>
    <w:rsid w:val="008F0A5B"/>
    <w:rsid w:val="008F0C02"/>
    <w:rsid w:val="008F2BD1"/>
    <w:rsid w:val="008F6DE2"/>
    <w:rsid w:val="009005C4"/>
    <w:rsid w:val="00910940"/>
    <w:rsid w:val="009235D7"/>
    <w:rsid w:val="009247C8"/>
    <w:rsid w:val="00924819"/>
    <w:rsid w:val="00925B7E"/>
    <w:rsid w:val="00941B44"/>
    <w:rsid w:val="009471D1"/>
    <w:rsid w:val="0095145F"/>
    <w:rsid w:val="00961EAA"/>
    <w:rsid w:val="0096447E"/>
    <w:rsid w:val="00965A5E"/>
    <w:rsid w:val="0096701F"/>
    <w:rsid w:val="0097202C"/>
    <w:rsid w:val="00976F58"/>
    <w:rsid w:val="00983C9D"/>
    <w:rsid w:val="00984E90"/>
    <w:rsid w:val="00997028"/>
    <w:rsid w:val="009A02C1"/>
    <w:rsid w:val="009A48D6"/>
    <w:rsid w:val="009B1F8D"/>
    <w:rsid w:val="009B70FB"/>
    <w:rsid w:val="009C2F78"/>
    <w:rsid w:val="009C5B57"/>
    <w:rsid w:val="009D1A1A"/>
    <w:rsid w:val="009E0770"/>
    <w:rsid w:val="009E3130"/>
    <w:rsid w:val="009E6583"/>
    <w:rsid w:val="009F337A"/>
    <w:rsid w:val="009F339D"/>
    <w:rsid w:val="00A02534"/>
    <w:rsid w:val="00A0446E"/>
    <w:rsid w:val="00A04B18"/>
    <w:rsid w:val="00A04DD0"/>
    <w:rsid w:val="00A14FF3"/>
    <w:rsid w:val="00A16D9F"/>
    <w:rsid w:val="00A21D53"/>
    <w:rsid w:val="00A23FBF"/>
    <w:rsid w:val="00A3031E"/>
    <w:rsid w:val="00A30EF1"/>
    <w:rsid w:val="00A317B9"/>
    <w:rsid w:val="00A32227"/>
    <w:rsid w:val="00A32467"/>
    <w:rsid w:val="00A32B4E"/>
    <w:rsid w:val="00A375B5"/>
    <w:rsid w:val="00A4759E"/>
    <w:rsid w:val="00A53AE5"/>
    <w:rsid w:val="00A61023"/>
    <w:rsid w:val="00A63E5E"/>
    <w:rsid w:val="00A70580"/>
    <w:rsid w:val="00A70A25"/>
    <w:rsid w:val="00A822E2"/>
    <w:rsid w:val="00A8533F"/>
    <w:rsid w:val="00A937F1"/>
    <w:rsid w:val="00AA6C99"/>
    <w:rsid w:val="00AB76AB"/>
    <w:rsid w:val="00AC4E6C"/>
    <w:rsid w:val="00AD208D"/>
    <w:rsid w:val="00AD4150"/>
    <w:rsid w:val="00AD50C7"/>
    <w:rsid w:val="00AD7323"/>
    <w:rsid w:val="00AE64E3"/>
    <w:rsid w:val="00AF3AC3"/>
    <w:rsid w:val="00AF6104"/>
    <w:rsid w:val="00B070ED"/>
    <w:rsid w:val="00B12015"/>
    <w:rsid w:val="00B14952"/>
    <w:rsid w:val="00B1791B"/>
    <w:rsid w:val="00B30FA4"/>
    <w:rsid w:val="00B371D1"/>
    <w:rsid w:val="00B44769"/>
    <w:rsid w:val="00B44857"/>
    <w:rsid w:val="00B540A1"/>
    <w:rsid w:val="00B54D76"/>
    <w:rsid w:val="00B712E2"/>
    <w:rsid w:val="00B8649C"/>
    <w:rsid w:val="00BA657C"/>
    <w:rsid w:val="00BB2B7E"/>
    <w:rsid w:val="00BC4E6A"/>
    <w:rsid w:val="00BC63E4"/>
    <w:rsid w:val="00BC6C39"/>
    <w:rsid w:val="00BD065A"/>
    <w:rsid w:val="00BD2274"/>
    <w:rsid w:val="00BD3CC6"/>
    <w:rsid w:val="00BD4391"/>
    <w:rsid w:val="00BD4489"/>
    <w:rsid w:val="00BD58A2"/>
    <w:rsid w:val="00BE4423"/>
    <w:rsid w:val="00BF08CE"/>
    <w:rsid w:val="00BF6C2C"/>
    <w:rsid w:val="00C01B5F"/>
    <w:rsid w:val="00C02BED"/>
    <w:rsid w:val="00C06728"/>
    <w:rsid w:val="00C11CDF"/>
    <w:rsid w:val="00C12E48"/>
    <w:rsid w:val="00C16194"/>
    <w:rsid w:val="00C23B02"/>
    <w:rsid w:val="00C25CDC"/>
    <w:rsid w:val="00C27BB0"/>
    <w:rsid w:val="00C30F99"/>
    <w:rsid w:val="00C3237D"/>
    <w:rsid w:val="00C3358A"/>
    <w:rsid w:val="00C3648B"/>
    <w:rsid w:val="00C43B29"/>
    <w:rsid w:val="00C43B5E"/>
    <w:rsid w:val="00C47459"/>
    <w:rsid w:val="00C67C28"/>
    <w:rsid w:val="00C70317"/>
    <w:rsid w:val="00C704AC"/>
    <w:rsid w:val="00C729FB"/>
    <w:rsid w:val="00C778F2"/>
    <w:rsid w:val="00C81C18"/>
    <w:rsid w:val="00C95EA2"/>
    <w:rsid w:val="00C978D5"/>
    <w:rsid w:val="00C97B1C"/>
    <w:rsid w:val="00CA15E6"/>
    <w:rsid w:val="00CB08E1"/>
    <w:rsid w:val="00CB1BBD"/>
    <w:rsid w:val="00CB7567"/>
    <w:rsid w:val="00CC772E"/>
    <w:rsid w:val="00CC7EFE"/>
    <w:rsid w:val="00CD135A"/>
    <w:rsid w:val="00CD33D9"/>
    <w:rsid w:val="00CD58B7"/>
    <w:rsid w:val="00CF2177"/>
    <w:rsid w:val="00CF5CF2"/>
    <w:rsid w:val="00CF6861"/>
    <w:rsid w:val="00D036E1"/>
    <w:rsid w:val="00D07280"/>
    <w:rsid w:val="00D07515"/>
    <w:rsid w:val="00D07F2B"/>
    <w:rsid w:val="00D16953"/>
    <w:rsid w:val="00D36ED9"/>
    <w:rsid w:val="00D41263"/>
    <w:rsid w:val="00D43B44"/>
    <w:rsid w:val="00D472D9"/>
    <w:rsid w:val="00D51502"/>
    <w:rsid w:val="00D51782"/>
    <w:rsid w:val="00D551C3"/>
    <w:rsid w:val="00D6437B"/>
    <w:rsid w:val="00D717EB"/>
    <w:rsid w:val="00D84C7E"/>
    <w:rsid w:val="00D8501E"/>
    <w:rsid w:val="00D866A9"/>
    <w:rsid w:val="00D960F6"/>
    <w:rsid w:val="00DB21FE"/>
    <w:rsid w:val="00DD1759"/>
    <w:rsid w:val="00DD4D52"/>
    <w:rsid w:val="00DD56D6"/>
    <w:rsid w:val="00DD7579"/>
    <w:rsid w:val="00DE3821"/>
    <w:rsid w:val="00DF4231"/>
    <w:rsid w:val="00DF71CE"/>
    <w:rsid w:val="00E14E15"/>
    <w:rsid w:val="00E24ECA"/>
    <w:rsid w:val="00E37E70"/>
    <w:rsid w:val="00E439B6"/>
    <w:rsid w:val="00E4593B"/>
    <w:rsid w:val="00E45BF0"/>
    <w:rsid w:val="00E45DFB"/>
    <w:rsid w:val="00E547A7"/>
    <w:rsid w:val="00E65C9A"/>
    <w:rsid w:val="00E7142C"/>
    <w:rsid w:val="00E733BF"/>
    <w:rsid w:val="00E737A6"/>
    <w:rsid w:val="00E74E30"/>
    <w:rsid w:val="00E759E1"/>
    <w:rsid w:val="00E82042"/>
    <w:rsid w:val="00E82975"/>
    <w:rsid w:val="00E924F1"/>
    <w:rsid w:val="00E9544C"/>
    <w:rsid w:val="00E96234"/>
    <w:rsid w:val="00EA18CB"/>
    <w:rsid w:val="00EB350A"/>
    <w:rsid w:val="00EC1681"/>
    <w:rsid w:val="00EC7C09"/>
    <w:rsid w:val="00ED20F0"/>
    <w:rsid w:val="00EE0DF1"/>
    <w:rsid w:val="00EF2EC0"/>
    <w:rsid w:val="00EF6AF3"/>
    <w:rsid w:val="00F00E6A"/>
    <w:rsid w:val="00F074BB"/>
    <w:rsid w:val="00F126D5"/>
    <w:rsid w:val="00F12A5A"/>
    <w:rsid w:val="00F1388D"/>
    <w:rsid w:val="00F154E6"/>
    <w:rsid w:val="00F22346"/>
    <w:rsid w:val="00F24779"/>
    <w:rsid w:val="00F25F8B"/>
    <w:rsid w:val="00F279D5"/>
    <w:rsid w:val="00F30FB3"/>
    <w:rsid w:val="00F4179A"/>
    <w:rsid w:val="00F41C9E"/>
    <w:rsid w:val="00F4259B"/>
    <w:rsid w:val="00F56727"/>
    <w:rsid w:val="00F572FE"/>
    <w:rsid w:val="00F63A9C"/>
    <w:rsid w:val="00F663BE"/>
    <w:rsid w:val="00F665C1"/>
    <w:rsid w:val="00F72CEF"/>
    <w:rsid w:val="00F9208B"/>
    <w:rsid w:val="00FA47B6"/>
    <w:rsid w:val="00FA4B97"/>
    <w:rsid w:val="00FA74C2"/>
    <w:rsid w:val="00FB516A"/>
    <w:rsid w:val="00FD1311"/>
    <w:rsid w:val="00FE0FC0"/>
    <w:rsid w:val="00FE56DE"/>
    <w:rsid w:val="00FE62A2"/>
    <w:rsid w:val="00FE67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68886"/>
  <w15:docId w15:val="{70E9C853-584A-4CA3-B2BD-7DB9C3B7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9E"/>
    <w:rPr>
      <w:rFonts w:cs="Arial Unicode MS"/>
      <w:lang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6001"/>
    <w:rPr>
      <w:color w:val="0000FF" w:themeColor="hyperlink"/>
      <w:u w:val="single"/>
    </w:rPr>
  </w:style>
  <w:style w:type="character" w:styleId="CommentReference">
    <w:name w:val="annotation reference"/>
    <w:basedOn w:val="DefaultParagraphFont"/>
    <w:rsid w:val="00226001"/>
    <w:rPr>
      <w:sz w:val="16"/>
      <w:szCs w:val="16"/>
    </w:rPr>
  </w:style>
  <w:style w:type="paragraph" w:styleId="CommentText">
    <w:name w:val="annotation text"/>
    <w:basedOn w:val="Normal"/>
    <w:link w:val="CommentTextChar"/>
    <w:rsid w:val="00226001"/>
    <w:rPr>
      <w:rFonts w:cs="Times New Roman"/>
      <w:lang w:eastAsia="lv-LV" w:bidi="ar-SA"/>
    </w:rPr>
  </w:style>
  <w:style w:type="character" w:customStyle="1" w:styleId="CommentTextChar">
    <w:name w:val="Comment Text Char"/>
    <w:basedOn w:val="DefaultParagraphFont"/>
    <w:link w:val="CommentText"/>
    <w:rsid w:val="00226001"/>
  </w:style>
  <w:style w:type="paragraph" w:styleId="BalloonText">
    <w:name w:val="Balloon Text"/>
    <w:basedOn w:val="Normal"/>
    <w:link w:val="BalloonTextChar"/>
    <w:rsid w:val="00226001"/>
    <w:rPr>
      <w:rFonts w:ascii="Tahoma" w:hAnsi="Tahoma" w:cs="Tahoma"/>
      <w:sz w:val="16"/>
      <w:szCs w:val="16"/>
    </w:rPr>
  </w:style>
  <w:style w:type="character" w:customStyle="1" w:styleId="BalloonTextChar">
    <w:name w:val="Balloon Text Char"/>
    <w:basedOn w:val="DefaultParagraphFont"/>
    <w:link w:val="BalloonText"/>
    <w:rsid w:val="00226001"/>
    <w:rPr>
      <w:rFonts w:ascii="Tahoma" w:hAnsi="Tahoma" w:cs="Tahoma"/>
      <w:sz w:val="16"/>
      <w:szCs w:val="16"/>
      <w:lang w:eastAsia="en-US" w:bidi="lo-LA"/>
    </w:rPr>
  </w:style>
  <w:style w:type="paragraph" w:styleId="Header">
    <w:name w:val="header"/>
    <w:basedOn w:val="Normal"/>
    <w:link w:val="HeaderChar"/>
    <w:uiPriority w:val="99"/>
    <w:rsid w:val="00721C60"/>
    <w:pPr>
      <w:tabs>
        <w:tab w:val="center" w:pos="4153"/>
        <w:tab w:val="right" w:pos="8306"/>
      </w:tabs>
    </w:pPr>
  </w:style>
  <w:style w:type="character" w:customStyle="1" w:styleId="HeaderChar">
    <w:name w:val="Header Char"/>
    <w:basedOn w:val="DefaultParagraphFont"/>
    <w:link w:val="Header"/>
    <w:uiPriority w:val="99"/>
    <w:rsid w:val="00721C60"/>
    <w:rPr>
      <w:rFonts w:cs="Arial Unicode MS"/>
      <w:lang w:eastAsia="en-US" w:bidi="lo-LA"/>
    </w:rPr>
  </w:style>
  <w:style w:type="paragraph" w:styleId="Footer">
    <w:name w:val="footer"/>
    <w:basedOn w:val="Normal"/>
    <w:link w:val="FooterChar"/>
    <w:uiPriority w:val="99"/>
    <w:rsid w:val="00721C60"/>
    <w:pPr>
      <w:tabs>
        <w:tab w:val="center" w:pos="4153"/>
        <w:tab w:val="right" w:pos="8306"/>
      </w:tabs>
    </w:pPr>
  </w:style>
  <w:style w:type="character" w:customStyle="1" w:styleId="FooterChar">
    <w:name w:val="Footer Char"/>
    <w:basedOn w:val="DefaultParagraphFont"/>
    <w:link w:val="Footer"/>
    <w:uiPriority w:val="99"/>
    <w:rsid w:val="00721C60"/>
    <w:rPr>
      <w:rFonts w:cs="Arial Unicode MS"/>
      <w:lang w:eastAsia="en-US" w:bidi="lo-LA"/>
    </w:rPr>
  </w:style>
  <w:style w:type="paragraph" w:styleId="ListParagraph">
    <w:name w:val="List Paragraph"/>
    <w:basedOn w:val="Normal"/>
    <w:uiPriority w:val="34"/>
    <w:qFormat/>
    <w:rsid w:val="00910940"/>
    <w:pPr>
      <w:ind w:left="720"/>
      <w:contextualSpacing/>
    </w:pPr>
  </w:style>
  <w:style w:type="paragraph" w:styleId="CommentSubject">
    <w:name w:val="annotation subject"/>
    <w:basedOn w:val="CommentText"/>
    <w:next w:val="CommentText"/>
    <w:link w:val="CommentSubjectChar"/>
    <w:rsid w:val="00D07F2B"/>
    <w:rPr>
      <w:rFonts w:cs="Arial Unicode MS"/>
      <w:b/>
      <w:bCs/>
      <w:lang w:eastAsia="en-US" w:bidi="lo-LA"/>
    </w:rPr>
  </w:style>
  <w:style w:type="character" w:customStyle="1" w:styleId="CommentSubjectChar">
    <w:name w:val="Comment Subject Char"/>
    <w:basedOn w:val="CommentTextChar"/>
    <w:link w:val="CommentSubject"/>
    <w:rsid w:val="00D07F2B"/>
    <w:rPr>
      <w:rFonts w:cs="Arial Unicode MS"/>
      <w:b/>
      <w:bCs/>
      <w:lang w:eastAsia="en-US" w:bidi="lo-LA"/>
    </w:rPr>
  </w:style>
  <w:style w:type="paragraph" w:customStyle="1" w:styleId="naisf">
    <w:name w:val="naisf"/>
    <w:basedOn w:val="Normal"/>
    <w:rsid w:val="00A70580"/>
    <w:pPr>
      <w:spacing w:before="75" w:after="75"/>
      <w:ind w:firstLine="375"/>
      <w:jc w:val="both"/>
    </w:pPr>
    <w:rPr>
      <w:rFonts w:cs="Times New Roman"/>
      <w:sz w:val="24"/>
      <w:szCs w:val="24"/>
      <w:lang w:eastAsia="lv-LV" w:bidi="ar-SA"/>
    </w:rPr>
  </w:style>
  <w:style w:type="paragraph" w:customStyle="1" w:styleId="naisnod">
    <w:name w:val="naisnod"/>
    <w:basedOn w:val="Normal"/>
    <w:rsid w:val="00A70580"/>
    <w:pPr>
      <w:spacing w:before="150" w:after="150"/>
      <w:jc w:val="center"/>
    </w:pPr>
    <w:rPr>
      <w:rFonts w:cs="Times New Roman"/>
      <w:b/>
      <w:bCs/>
      <w:sz w:val="24"/>
      <w:szCs w:val="24"/>
      <w:lang w:eastAsia="lv-LV" w:bidi="ar-SA"/>
    </w:rPr>
  </w:style>
  <w:style w:type="paragraph" w:styleId="Revision">
    <w:name w:val="Revision"/>
    <w:hidden/>
    <w:uiPriority w:val="99"/>
    <w:semiHidden/>
    <w:rsid w:val="00E7142C"/>
    <w:rPr>
      <w:rFonts w:cs="Arial Unicode MS"/>
      <w:lang w:eastAsia="en-US" w:bidi="lo-LA"/>
    </w:rPr>
  </w:style>
  <w:style w:type="paragraph" w:styleId="NoSpacing">
    <w:name w:val="No Spacing"/>
    <w:uiPriority w:val="1"/>
    <w:qFormat/>
    <w:rsid w:val="00A70A25"/>
    <w:rPr>
      <w:rFonts w:ascii="Calibri" w:eastAsia="Calibri" w:hAnsi="Calibri"/>
      <w:sz w:val="22"/>
      <w:szCs w:val="22"/>
      <w:lang w:eastAsia="en-US"/>
    </w:rPr>
  </w:style>
  <w:style w:type="table" w:styleId="TableGrid">
    <w:name w:val="Table Grid"/>
    <w:basedOn w:val="TableNormal"/>
    <w:rsid w:val="006C2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6C2785"/>
    <w:pPr>
      <w:spacing w:before="75" w:after="75"/>
    </w:pPr>
    <w:rPr>
      <w:rFonts w:cs="Times New Roman"/>
      <w:sz w:val="24"/>
      <w:szCs w:val="24"/>
      <w:lang w:eastAsia="lv-LV" w:bidi="ar-SA"/>
    </w:rPr>
  </w:style>
  <w:style w:type="character" w:styleId="Emphasis">
    <w:name w:val="Emphasis"/>
    <w:basedOn w:val="DefaultParagraphFont"/>
    <w:uiPriority w:val="20"/>
    <w:qFormat/>
    <w:rsid w:val="006C2785"/>
    <w:rPr>
      <w:i/>
      <w:iCs/>
    </w:rPr>
  </w:style>
  <w:style w:type="paragraph" w:customStyle="1" w:styleId="tv213">
    <w:name w:val="tv213"/>
    <w:basedOn w:val="Normal"/>
    <w:rsid w:val="00BF08CE"/>
    <w:pPr>
      <w:spacing w:before="100" w:beforeAutospacing="1" w:after="100" w:afterAutospacing="1"/>
    </w:pPr>
    <w:rPr>
      <w:rFonts w:cs="Times New Roman"/>
      <w:sz w:val="24"/>
      <w:szCs w:val="24"/>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masane@midd.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6B339-2A8D-4C29-BA04-59DD223F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1024</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Noteikumu projekta "Grozījumi Ministru kabineta 2004.gada 6.janvāra noteikumos Nr.21 "Valsts noslēpuma, Ziemeļatlantijas līguma organizācijas, Eiropas Savienības un ārvalstu institūciju klasificētās informācijas aizsardzības noteikumi"" sākotnējās ietekme</vt:lpstr>
    </vt:vector>
  </TitlesOfParts>
  <Company>AM</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2004.gada 6.janvāra noteikumos Nr.21 "Valsts noslēpuma, Ziemeļatlantijas līguma organizācijas, Eiropas Savienības un ārvalstu institūciju klasificētās informācijas aizsardzības noteikumi"" sākotnējās ietekmes novērtējuma ziņojums</dc:title>
  <dc:subject>Sākotnējās ietekmes novērtējuma ziņojums (anotācija)</dc:subject>
  <dc:creator>Aizsardzības ministrija</dc:creator>
  <dc:description>67177877,
kanceleja@midd.gov.lv</dc:description>
  <cp:lastModifiedBy>Santa Lepere</cp:lastModifiedBy>
  <cp:revision>4</cp:revision>
  <cp:lastPrinted>2018-07-06T06:21:00Z</cp:lastPrinted>
  <dcterms:created xsi:type="dcterms:W3CDTF">2018-08-08T07:36:00Z</dcterms:created>
  <dcterms:modified xsi:type="dcterms:W3CDTF">2018-08-10T07:24:00Z</dcterms:modified>
</cp:coreProperties>
</file>